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9</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val="en-US" w:eastAsia="zh-CN"/>
        </w:rPr>
        <w:t>1</w:t>
      </w:r>
      <w:r>
        <w:fldChar w:fldCharType="end"/>
      </w:r>
      <w:r>
        <w:rPr>
          <w:rFonts w:hint="eastAsia"/>
          <w:lang w:val="en-US" w:eastAsia="zh-CN"/>
        </w:rPr>
        <w:t>1</w:t>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2</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rPr>
          <w:rFonts w:hint="eastAsia"/>
          <w:lang w:val="en-US" w:eastAsia="zh-CN"/>
        </w:rPr>
        <w:t>3</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val="en-US" w:eastAsia="zh-CN"/>
        </w:rPr>
        <w:t>4</w:t>
      </w:r>
      <w:r>
        <w:fldChar w:fldCharType="end"/>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9</w:t>
      </w:r>
    </w:p>
    <w:p>
      <w:pPr>
        <w:pStyle w:val="7"/>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3</w:t>
      </w:r>
      <w:r>
        <w:fldChar w:fldCharType="end"/>
      </w:r>
      <w:r>
        <w:rPr>
          <w:rFonts w:hint="eastAsia"/>
          <w:lang w:val="en-US" w:eastAsia="zh-CN"/>
        </w:rPr>
        <w:t>0</w:t>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3</w:t>
      </w:r>
      <w:r>
        <w:fldChar w:fldCharType="end"/>
      </w:r>
      <w:r>
        <w:rPr>
          <w:rFonts w:hint="eastAsia"/>
          <w:lang w:val="en-US" w:eastAsia="zh-CN"/>
        </w:rPr>
        <w:t>1</w:t>
      </w:r>
      <w:bookmarkStart w:id="0" w:name="_GoBack"/>
      <w:bookmarkEnd w:id="0"/>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二十五、霸州市职业技术中学收支预算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501402霸州市职业技术中学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1558.35</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r>
              <w:t>69.00</w:t>
            </w: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1675.35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1627.35</w:t>
            </w:r>
          </w:p>
        </w:tc>
        <w:tc>
          <w:tcPr>
            <w:tcW w:w="4535" w:type="dxa"/>
            <w:vAlign w:val="center"/>
          </w:tcPr>
          <w:p>
            <w:pPr>
              <w:pStyle w:val="24"/>
            </w:pPr>
            <w:r>
              <w:t>本年支出合计</w:t>
            </w:r>
          </w:p>
        </w:tc>
        <w:tc>
          <w:tcPr>
            <w:tcW w:w="2126" w:type="dxa"/>
            <w:vAlign w:val="center"/>
          </w:tcPr>
          <w:p>
            <w:pPr>
              <w:pStyle w:val="25"/>
            </w:pPr>
            <w:r>
              <w:t>1675.35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r>
              <w:t>48.00</w:t>
            </w: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1675.35</w:t>
            </w:r>
          </w:p>
        </w:tc>
        <w:tc>
          <w:tcPr>
            <w:tcW w:w="4535" w:type="dxa"/>
            <w:vAlign w:val="center"/>
          </w:tcPr>
          <w:p>
            <w:pPr>
              <w:pStyle w:val="24"/>
            </w:pPr>
            <w:r>
              <w:t>支出总计</w:t>
            </w:r>
          </w:p>
        </w:tc>
        <w:tc>
          <w:tcPr>
            <w:tcW w:w="2126" w:type="dxa"/>
            <w:vAlign w:val="center"/>
          </w:tcPr>
          <w:p>
            <w:pPr>
              <w:pStyle w:val="25"/>
            </w:pPr>
            <w:r>
              <w:t>1675.35</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501402霸州市职业技术中学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1675.35</w:t>
            </w:r>
          </w:p>
        </w:tc>
        <w:tc>
          <w:tcPr>
            <w:tcW w:w="1134" w:type="dxa"/>
            <w:vAlign w:val="center"/>
          </w:tcPr>
          <w:p>
            <w:pPr>
              <w:pStyle w:val="25"/>
            </w:pPr>
            <w:r>
              <w:t>1627.35</w:t>
            </w:r>
          </w:p>
        </w:tc>
        <w:tc>
          <w:tcPr>
            <w:tcW w:w="1134" w:type="dxa"/>
            <w:vAlign w:val="center"/>
          </w:tcPr>
          <w:p>
            <w:pPr>
              <w:pStyle w:val="25"/>
            </w:pPr>
            <w:r>
              <w:t>1558.35</w:t>
            </w:r>
          </w:p>
        </w:tc>
        <w:tc>
          <w:tcPr>
            <w:tcW w:w="1134" w:type="dxa"/>
            <w:vAlign w:val="center"/>
          </w:tcPr>
          <w:p>
            <w:pPr>
              <w:pStyle w:val="25"/>
            </w:pPr>
            <w:r>
              <w:t>69.00</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r>
              <w:t>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1675.35</w:t>
            </w:r>
          </w:p>
        </w:tc>
        <w:tc>
          <w:tcPr>
            <w:tcW w:w="1134" w:type="dxa"/>
            <w:vAlign w:val="center"/>
          </w:tcPr>
          <w:p>
            <w:pPr>
              <w:pStyle w:val="21"/>
            </w:pPr>
            <w:r>
              <w:t>1627.35</w:t>
            </w:r>
          </w:p>
        </w:tc>
        <w:tc>
          <w:tcPr>
            <w:tcW w:w="1134" w:type="dxa"/>
            <w:vAlign w:val="center"/>
          </w:tcPr>
          <w:p>
            <w:pPr>
              <w:pStyle w:val="21"/>
            </w:pPr>
            <w:r>
              <w:t>1558.35</w:t>
            </w:r>
          </w:p>
        </w:tc>
        <w:tc>
          <w:tcPr>
            <w:tcW w:w="1134" w:type="dxa"/>
            <w:vAlign w:val="center"/>
          </w:tcPr>
          <w:p>
            <w:pPr>
              <w:pStyle w:val="21"/>
            </w:pPr>
            <w:r>
              <w:t>69.00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20503</w:t>
            </w:r>
          </w:p>
        </w:tc>
        <w:tc>
          <w:tcPr>
            <w:tcW w:w="1559" w:type="dxa"/>
            <w:vAlign w:val="center"/>
          </w:tcPr>
          <w:p>
            <w:pPr>
              <w:pStyle w:val="22"/>
            </w:pPr>
            <w:r>
              <w:t>职业教育</w:t>
            </w:r>
          </w:p>
        </w:tc>
        <w:tc>
          <w:tcPr>
            <w:tcW w:w="1134" w:type="dxa"/>
            <w:vAlign w:val="center"/>
          </w:tcPr>
          <w:p>
            <w:pPr>
              <w:pStyle w:val="21"/>
            </w:pPr>
            <w:r>
              <w:t>1675.35</w:t>
            </w:r>
          </w:p>
        </w:tc>
        <w:tc>
          <w:tcPr>
            <w:tcW w:w="1134" w:type="dxa"/>
            <w:vAlign w:val="center"/>
          </w:tcPr>
          <w:p>
            <w:pPr>
              <w:pStyle w:val="21"/>
            </w:pPr>
            <w:r>
              <w:t>1627.35</w:t>
            </w:r>
          </w:p>
        </w:tc>
        <w:tc>
          <w:tcPr>
            <w:tcW w:w="1134" w:type="dxa"/>
            <w:vAlign w:val="center"/>
          </w:tcPr>
          <w:p>
            <w:pPr>
              <w:pStyle w:val="21"/>
            </w:pPr>
            <w:r>
              <w:t>1558.35</w:t>
            </w:r>
          </w:p>
        </w:tc>
        <w:tc>
          <w:tcPr>
            <w:tcW w:w="1134" w:type="dxa"/>
            <w:vAlign w:val="center"/>
          </w:tcPr>
          <w:p>
            <w:pPr>
              <w:pStyle w:val="21"/>
            </w:pPr>
            <w:r>
              <w:t>69.00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2050302</w:t>
            </w:r>
          </w:p>
        </w:tc>
        <w:tc>
          <w:tcPr>
            <w:tcW w:w="1559" w:type="dxa"/>
            <w:vAlign w:val="center"/>
          </w:tcPr>
          <w:p>
            <w:pPr>
              <w:pStyle w:val="22"/>
            </w:pPr>
            <w:r>
              <w:t>中等职业教育</w:t>
            </w:r>
          </w:p>
        </w:tc>
        <w:tc>
          <w:tcPr>
            <w:tcW w:w="1134" w:type="dxa"/>
            <w:vAlign w:val="center"/>
          </w:tcPr>
          <w:p>
            <w:pPr>
              <w:pStyle w:val="21"/>
            </w:pPr>
            <w:r>
              <w:t>1675.35</w:t>
            </w:r>
          </w:p>
        </w:tc>
        <w:tc>
          <w:tcPr>
            <w:tcW w:w="1134" w:type="dxa"/>
            <w:vAlign w:val="center"/>
          </w:tcPr>
          <w:p>
            <w:pPr>
              <w:pStyle w:val="21"/>
            </w:pPr>
            <w:r>
              <w:t>1627.35</w:t>
            </w:r>
          </w:p>
        </w:tc>
        <w:tc>
          <w:tcPr>
            <w:tcW w:w="1134" w:type="dxa"/>
            <w:vAlign w:val="center"/>
          </w:tcPr>
          <w:p>
            <w:pPr>
              <w:pStyle w:val="21"/>
            </w:pPr>
            <w:r>
              <w:t>1558.35</w:t>
            </w:r>
          </w:p>
        </w:tc>
        <w:tc>
          <w:tcPr>
            <w:tcW w:w="1134" w:type="dxa"/>
            <w:vAlign w:val="center"/>
          </w:tcPr>
          <w:p>
            <w:pPr>
              <w:pStyle w:val="21"/>
            </w:pPr>
            <w:r>
              <w:t>69.00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48.00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501402霸州市职业技术中学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1675.35</w:t>
            </w:r>
          </w:p>
        </w:tc>
        <w:tc>
          <w:tcPr>
            <w:tcW w:w="1361" w:type="dxa"/>
            <w:vAlign w:val="center"/>
          </w:tcPr>
          <w:p>
            <w:pPr>
              <w:pStyle w:val="25"/>
            </w:pPr>
            <w:r>
              <w:t>1060.05</w:t>
            </w:r>
          </w:p>
        </w:tc>
        <w:tc>
          <w:tcPr>
            <w:tcW w:w="1361" w:type="dxa"/>
            <w:vAlign w:val="center"/>
          </w:tcPr>
          <w:p>
            <w:pPr>
              <w:pStyle w:val="25"/>
            </w:pPr>
            <w:r>
              <w:t>615.30</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1675.35</w:t>
            </w:r>
          </w:p>
        </w:tc>
        <w:tc>
          <w:tcPr>
            <w:tcW w:w="1361" w:type="dxa"/>
            <w:vAlign w:val="center"/>
          </w:tcPr>
          <w:p>
            <w:pPr>
              <w:pStyle w:val="21"/>
            </w:pPr>
            <w:r>
              <w:t>1060.05</w:t>
            </w:r>
          </w:p>
        </w:tc>
        <w:tc>
          <w:tcPr>
            <w:tcW w:w="1361" w:type="dxa"/>
            <w:vAlign w:val="center"/>
          </w:tcPr>
          <w:p>
            <w:pPr>
              <w:pStyle w:val="21"/>
            </w:pPr>
            <w:r>
              <w:t>615.30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20503</w:t>
            </w:r>
          </w:p>
        </w:tc>
        <w:tc>
          <w:tcPr>
            <w:tcW w:w="4535" w:type="dxa"/>
            <w:vAlign w:val="center"/>
          </w:tcPr>
          <w:p>
            <w:pPr>
              <w:pStyle w:val="22"/>
            </w:pPr>
            <w:r>
              <w:t>职业教育</w:t>
            </w:r>
          </w:p>
        </w:tc>
        <w:tc>
          <w:tcPr>
            <w:tcW w:w="1361" w:type="dxa"/>
            <w:vAlign w:val="center"/>
          </w:tcPr>
          <w:p>
            <w:pPr>
              <w:pStyle w:val="21"/>
            </w:pPr>
            <w:r>
              <w:t>1675.35</w:t>
            </w:r>
          </w:p>
        </w:tc>
        <w:tc>
          <w:tcPr>
            <w:tcW w:w="1361" w:type="dxa"/>
            <w:vAlign w:val="center"/>
          </w:tcPr>
          <w:p>
            <w:pPr>
              <w:pStyle w:val="21"/>
            </w:pPr>
            <w:r>
              <w:t>1060.05</w:t>
            </w:r>
          </w:p>
        </w:tc>
        <w:tc>
          <w:tcPr>
            <w:tcW w:w="1361" w:type="dxa"/>
            <w:vAlign w:val="center"/>
          </w:tcPr>
          <w:p>
            <w:pPr>
              <w:pStyle w:val="21"/>
            </w:pPr>
            <w:r>
              <w:t>615.30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2050302</w:t>
            </w:r>
          </w:p>
        </w:tc>
        <w:tc>
          <w:tcPr>
            <w:tcW w:w="4535" w:type="dxa"/>
            <w:vAlign w:val="center"/>
          </w:tcPr>
          <w:p>
            <w:pPr>
              <w:pStyle w:val="22"/>
            </w:pPr>
            <w:r>
              <w:t>中等职业教育</w:t>
            </w:r>
          </w:p>
        </w:tc>
        <w:tc>
          <w:tcPr>
            <w:tcW w:w="1361" w:type="dxa"/>
            <w:vAlign w:val="center"/>
          </w:tcPr>
          <w:p>
            <w:pPr>
              <w:pStyle w:val="21"/>
            </w:pPr>
            <w:r>
              <w:t>1675.35</w:t>
            </w:r>
          </w:p>
        </w:tc>
        <w:tc>
          <w:tcPr>
            <w:tcW w:w="1361" w:type="dxa"/>
            <w:vAlign w:val="center"/>
          </w:tcPr>
          <w:p>
            <w:pPr>
              <w:pStyle w:val="21"/>
            </w:pPr>
            <w:r>
              <w:t>1060.05</w:t>
            </w:r>
          </w:p>
        </w:tc>
        <w:tc>
          <w:tcPr>
            <w:tcW w:w="1361" w:type="dxa"/>
            <w:vAlign w:val="center"/>
          </w:tcPr>
          <w:p>
            <w:pPr>
              <w:pStyle w:val="21"/>
            </w:pPr>
            <w:r>
              <w:t>615.30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501402霸州市职业技术中学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1558.35</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1606.35</w:t>
            </w:r>
          </w:p>
        </w:tc>
        <w:tc>
          <w:tcPr>
            <w:tcW w:w="1474" w:type="dxa"/>
            <w:vAlign w:val="center"/>
          </w:tcPr>
          <w:p>
            <w:pPr>
              <w:pStyle w:val="21"/>
            </w:pPr>
            <w:r>
              <w:t>1606.35</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1558.35</w:t>
            </w:r>
          </w:p>
        </w:tc>
        <w:tc>
          <w:tcPr>
            <w:tcW w:w="3402" w:type="dxa"/>
            <w:vAlign w:val="center"/>
          </w:tcPr>
          <w:p>
            <w:pPr>
              <w:pStyle w:val="24"/>
            </w:pPr>
            <w:r>
              <w:t>本年支出合计</w:t>
            </w:r>
          </w:p>
        </w:tc>
        <w:tc>
          <w:tcPr>
            <w:tcW w:w="1474" w:type="dxa"/>
            <w:vAlign w:val="center"/>
          </w:tcPr>
          <w:p>
            <w:pPr>
              <w:pStyle w:val="25"/>
            </w:pPr>
            <w:r>
              <w:t>1606.35</w:t>
            </w:r>
          </w:p>
        </w:tc>
        <w:tc>
          <w:tcPr>
            <w:tcW w:w="1474" w:type="dxa"/>
            <w:vAlign w:val="center"/>
          </w:tcPr>
          <w:p>
            <w:pPr>
              <w:pStyle w:val="25"/>
            </w:pPr>
            <w:r>
              <w:t>1606.35</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r>
              <w:t>48.00</w:t>
            </w: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r>
              <w:t>48.00</w:t>
            </w: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1606.35</w:t>
            </w:r>
          </w:p>
        </w:tc>
        <w:tc>
          <w:tcPr>
            <w:tcW w:w="3402" w:type="dxa"/>
            <w:vAlign w:val="center"/>
          </w:tcPr>
          <w:p>
            <w:pPr>
              <w:pStyle w:val="24"/>
            </w:pPr>
            <w:r>
              <w:t>支出总计</w:t>
            </w:r>
          </w:p>
        </w:tc>
        <w:tc>
          <w:tcPr>
            <w:tcW w:w="1474" w:type="dxa"/>
            <w:vAlign w:val="center"/>
          </w:tcPr>
          <w:p>
            <w:pPr>
              <w:pStyle w:val="25"/>
            </w:pPr>
            <w:r>
              <w:t>1606.35</w:t>
            </w:r>
          </w:p>
        </w:tc>
        <w:tc>
          <w:tcPr>
            <w:tcW w:w="1474" w:type="dxa"/>
            <w:vAlign w:val="center"/>
          </w:tcPr>
          <w:p>
            <w:pPr>
              <w:pStyle w:val="25"/>
            </w:pPr>
            <w:r>
              <w:t>1606.35</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501402霸州市职业技术中学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1606.35</w:t>
            </w:r>
          </w:p>
        </w:tc>
        <w:tc>
          <w:tcPr>
            <w:tcW w:w="2551" w:type="dxa"/>
            <w:vAlign w:val="center"/>
          </w:tcPr>
          <w:p>
            <w:pPr>
              <w:pStyle w:val="25"/>
            </w:pPr>
            <w:r>
              <w:t>991.05</w:t>
            </w:r>
          </w:p>
        </w:tc>
        <w:tc>
          <w:tcPr>
            <w:tcW w:w="2551" w:type="dxa"/>
            <w:vAlign w:val="center"/>
          </w:tcPr>
          <w:p>
            <w:pPr>
              <w:pStyle w:val="25"/>
            </w:pPr>
            <w:r>
              <w:t>615.30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1606.35</w:t>
            </w:r>
          </w:p>
        </w:tc>
        <w:tc>
          <w:tcPr>
            <w:tcW w:w="2551" w:type="dxa"/>
            <w:vAlign w:val="center"/>
          </w:tcPr>
          <w:p>
            <w:pPr>
              <w:pStyle w:val="21"/>
            </w:pPr>
            <w:r>
              <w:t>991.05</w:t>
            </w:r>
          </w:p>
        </w:tc>
        <w:tc>
          <w:tcPr>
            <w:tcW w:w="2551" w:type="dxa"/>
            <w:vAlign w:val="center"/>
          </w:tcPr>
          <w:p>
            <w:pPr>
              <w:pStyle w:val="21"/>
            </w:pPr>
            <w:r>
              <w:t>615.30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20503</w:t>
            </w:r>
          </w:p>
        </w:tc>
        <w:tc>
          <w:tcPr>
            <w:tcW w:w="4535" w:type="dxa"/>
            <w:vAlign w:val="center"/>
          </w:tcPr>
          <w:p>
            <w:pPr>
              <w:pStyle w:val="22"/>
            </w:pPr>
            <w:r>
              <w:t>职业教育</w:t>
            </w:r>
          </w:p>
        </w:tc>
        <w:tc>
          <w:tcPr>
            <w:tcW w:w="2551" w:type="dxa"/>
            <w:vAlign w:val="center"/>
          </w:tcPr>
          <w:p>
            <w:pPr>
              <w:pStyle w:val="21"/>
            </w:pPr>
            <w:r>
              <w:t>1606.35</w:t>
            </w:r>
          </w:p>
        </w:tc>
        <w:tc>
          <w:tcPr>
            <w:tcW w:w="2551" w:type="dxa"/>
            <w:vAlign w:val="center"/>
          </w:tcPr>
          <w:p>
            <w:pPr>
              <w:pStyle w:val="21"/>
            </w:pPr>
            <w:r>
              <w:t>991.05</w:t>
            </w:r>
          </w:p>
        </w:tc>
        <w:tc>
          <w:tcPr>
            <w:tcW w:w="2551" w:type="dxa"/>
            <w:vAlign w:val="center"/>
          </w:tcPr>
          <w:p>
            <w:pPr>
              <w:pStyle w:val="21"/>
            </w:pPr>
            <w:r>
              <w:t>615.30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2050302</w:t>
            </w:r>
          </w:p>
        </w:tc>
        <w:tc>
          <w:tcPr>
            <w:tcW w:w="4535" w:type="dxa"/>
            <w:vAlign w:val="center"/>
          </w:tcPr>
          <w:p>
            <w:pPr>
              <w:pStyle w:val="22"/>
            </w:pPr>
            <w:r>
              <w:t>中等职业教育</w:t>
            </w:r>
          </w:p>
        </w:tc>
        <w:tc>
          <w:tcPr>
            <w:tcW w:w="2551" w:type="dxa"/>
            <w:vAlign w:val="center"/>
          </w:tcPr>
          <w:p>
            <w:pPr>
              <w:pStyle w:val="21"/>
            </w:pPr>
            <w:r>
              <w:t>1606.35</w:t>
            </w:r>
          </w:p>
        </w:tc>
        <w:tc>
          <w:tcPr>
            <w:tcW w:w="2551" w:type="dxa"/>
            <w:vAlign w:val="center"/>
          </w:tcPr>
          <w:p>
            <w:pPr>
              <w:pStyle w:val="21"/>
            </w:pPr>
            <w:r>
              <w:t>991.05</w:t>
            </w:r>
          </w:p>
        </w:tc>
        <w:tc>
          <w:tcPr>
            <w:tcW w:w="2551" w:type="dxa"/>
            <w:vAlign w:val="center"/>
          </w:tcPr>
          <w:p>
            <w:pPr>
              <w:pStyle w:val="21"/>
            </w:pPr>
            <w:r>
              <w:t>615.30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501402霸州市职业技术中学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991.05</w:t>
            </w:r>
          </w:p>
        </w:tc>
        <w:tc>
          <w:tcPr>
            <w:tcW w:w="2551" w:type="dxa"/>
            <w:vAlign w:val="center"/>
          </w:tcPr>
          <w:p>
            <w:pPr>
              <w:pStyle w:val="25"/>
            </w:pPr>
            <w:r>
              <w:t>764.37</w:t>
            </w:r>
          </w:p>
        </w:tc>
        <w:tc>
          <w:tcPr>
            <w:tcW w:w="2551" w:type="dxa"/>
            <w:vAlign w:val="center"/>
          </w:tcPr>
          <w:p>
            <w:pPr>
              <w:pStyle w:val="25"/>
            </w:pPr>
            <w:r>
              <w:t>226.68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635.12</w:t>
            </w:r>
          </w:p>
        </w:tc>
        <w:tc>
          <w:tcPr>
            <w:tcW w:w="2551" w:type="dxa"/>
            <w:vAlign w:val="center"/>
          </w:tcPr>
          <w:p>
            <w:pPr>
              <w:pStyle w:val="21"/>
            </w:pPr>
            <w:r>
              <w:t>635.12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192.66</w:t>
            </w:r>
          </w:p>
        </w:tc>
        <w:tc>
          <w:tcPr>
            <w:tcW w:w="2551" w:type="dxa"/>
            <w:vAlign w:val="center"/>
          </w:tcPr>
          <w:p>
            <w:pPr>
              <w:pStyle w:val="21"/>
            </w:pPr>
            <w:r>
              <w:t>192.66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38.71</w:t>
            </w:r>
          </w:p>
        </w:tc>
        <w:tc>
          <w:tcPr>
            <w:tcW w:w="2551" w:type="dxa"/>
            <w:vAlign w:val="center"/>
          </w:tcPr>
          <w:p>
            <w:pPr>
              <w:pStyle w:val="21"/>
            </w:pPr>
            <w:r>
              <w:t>38.71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233.29</w:t>
            </w:r>
          </w:p>
        </w:tc>
        <w:tc>
          <w:tcPr>
            <w:tcW w:w="2551" w:type="dxa"/>
            <w:vAlign w:val="center"/>
          </w:tcPr>
          <w:p>
            <w:pPr>
              <w:pStyle w:val="21"/>
            </w:pPr>
            <w:r>
              <w:t>233.29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59.45</w:t>
            </w:r>
          </w:p>
        </w:tc>
        <w:tc>
          <w:tcPr>
            <w:tcW w:w="2551" w:type="dxa"/>
            <w:vAlign w:val="center"/>
          </w:tcPr>
          <w:p>
            <w:pPr>
              <w:pStyle w:val="21"/>
            </w:pPr>
            <w:r>
              <w:t>59.45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19.65</w:t>
            </w:r>
          </w:p>
        </w:tc>
        <w:tc>
          <w:tcPr>
            <w:tcW w:w="2551" w:type="dxa"/>
            <w:vAlign w:val="center"/>
          </w:tcPr>
          <w:p>
            <w:pPr>
              <w:pStyle w:val="21"/>
            </w:pPr>
            <w:r>
              <w:t>19.65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16.93</w:t>
            </w:r>
          </w:p>
        </w:tc>
        <w:tc>
          <w:tcPr>
            <w:tcW w:w="2551" w:type="dxa"/>
            <w:vAlign w:val="center"/>
          </w:tcPr>
          <w:p>
            <w:pPr>
              <w:pStyle w:val="21"/>
            </w:pPr>
            <w:r>
              <w:t>16.93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4.28</w:t>
            </w:r>
          </w:p>
        </w:tc>
        <w:tc>
          <w:tcPr>
            <w:tcW w:w="2551" w:type="dxa"/>
            <w:vAlign w:val="center"/>
          </w:tcPr>
          <w:p>
            <w:pPr>
              <w:pStyle w:val="21"/>
            </w:pPr>
            <w:r>
              <w:t>4.28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48.15</w:t>
            </w:r>
          </w:p>
        </w:tc>
        <w:tc>
          <w:tcPr>
            <w:tcW w:w="2551" w:type="dxa"/>
            <w:vAlign w:val="center"/>
          </w:tcPr>
          <w:p>
            <w:pPr>
              <w:pStyle w:val="21"/>
            </w:pPr>
            <w:r>
              <w:t>48.15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22.00</w:t>
            </w:r>
          </w:p>
        </w:tc>
        <w:tc>
          <w:tcPr>
            <w:tcW w:w="2551" w:type="dxa"/>
            <w:vAlign w:val="center"/>
          </w:tcPr>
          <w:p>
            <w:pPr>
              <w:pStyle w:val="21"/>
            </w:pPr>
            <w:r>
              <w:t>22.00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226.68</w:t>
            </w:r>
          </w:p>
        </w:tc>
        <w:tc>
          <w:tcPr>
            <w:tcW w:w="2551" w:type="dxa"/>
            <w:vAlign w:val="center"/>
          </w:tcPr>
          <w:p>
            <w:pPr>
              <w:pStyle w:val="21"/>
            </w:pPr>
          </w:p>
        </w:tc>
        <w:tc>
          <w:tcPr>
            <w:tcW w:w="2551" w:type="dxa"/>
            <w:vAlign w:val="center"/>
          </w:tcPr>
          <w:p>
            <w:pPr>
              <w:pStyle w:val="21"/>
            </w:pPr>
            <w:r>
              <w:t>226.68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20.00</w:t>
            </w:r>
          </w:p>
        </w:tc>
        <w:tc>
          <w:tcPr>
            <w:tcW w:w="2551" w:type="dxa"/>
            <w:vAlign w:val="center"/>
          </w:tcPr>
          <w:p>
            <w:pPr>
              <w:pStyle w:val="21"/>
            </w:pPr>
          </w:p>
        </w:tc>
        <w:tc>
          <w:tcPr>
            <w:tcW w:w="2551" w:type="dxa"/>
            <w:vAlign w:val="center"/>
          </w:tcPr>
          <w:p>
            <w:pPr>
              <w:pStyle w:val="2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30205</w:t>
            </w:r>
          </w:p>
        </w:tc>
        <w:tc>
          <w:tcPr>
            <w:tcW w:w="4535" w:type="dxa"/>
            <w:vAlign w:val="center"/>
          </w:tcPr>
          <w:p>
            <w:pPr>
              <w:pStyle w:val="22"/>
            </w:pPr>
            <w:r>
              <w:t>水费</w:t>
            </w:r>
          </w:p>
        </w:tc>
        <w:tc>
          <w:tcPr>
            <w:tcW w:w="2551" w:type="dxa"/>
            <w:vAlign w:val="center"/>
          </w:tcPr>
          <w:p>
            <w:pPr>
              <w:pStyle w:val="21"/>
            </w:pPr>
            <w:r>
              <w:t>5.00</w:t>
            </w:r>
          </w:p>
        </w:tc>
        <w:tc>
          <w:tcPr>
            <w:tcW w:w="2551" w:type="dxa"/>
            <w:vAlign w:val="center"/>
          </w:tcPr>
          <w:p>
            <w:pPr>
              <w:pStyle w:val="21"/>
            </w:pPr>
          </w:p>
        </w:tc>
        <w:tc>
          <w:tcPr>
            <w:tcW w:w="2551" w:type="dxa"/>
            <w:vAlign w:val="center"/>
          </w:tcPr>
          <w:p>
            <w:pPr>
              <w:pStyle w:val="2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30206</w:t>
            </w:r>
          </w:p>
        </w:tc>
        <w:tc>
          <w:tcPr>
            <w:tcW w:w="4535" w:type="dxa"/>
            <w:vAlign w:val="center"/>
          </w:tcPr>
          <w:p>
            <w:pPr>
              <w:pStyle w:val="22"/>
            </w:pPr>
            <w:r>
              <w:t>电费</w:t>
            </w:r>
          </w:p>
        </w:tc>
        <w:tc>
          <w:tcPr>
            <w:tcW w:w="2551" w:type="dxa"/>
            <w:vAlign w:val="center"/>
          </w:tcPr>
          <w:p>
            <w:pPr>
              <w:pStyle w:val="21"/>
            </w:pPr>
            <w:r>
              <w:t>8.25</w:t>
            </w:r>
          </w:p>
        </w:tc>
        <w:tc>
          <w:tcPr>
            <w:tcW w:w="2551" w:type="dxa"/>
            <w:vAlign w:val="center"/>
          </w:tcPr>
          <w:p>
            <w:pPr>
              <w:pStyle w:val="21"/>
            </w:pPr>
          </w:p>
        </w:tc>
        <w:tc>
          <w:tcPr>
            <w:tcW w:w="2551" w:type="dxa"/>
            <w:vAlign w:val="center"/>
          </w:tcPr>
          <w:p>
            <w:pPr>
              <w:pStyle w:val="21"/>
            </w:pPr>
            <w:r>
              <w:t>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30208</w:t>
            </w:r>
          </w:p>
        </w:tc>
        <w:tc>
          <w:tcPr>
            <w:tcW w:w="4535" w:type="dxa"/>
            <w:vAlign w:val="center"/>
          </w:tcPr>
          <w:p>
            <w:pPr>
              <w:pStyle w:val="22"/>
            </w:pPr>
            <w:r>
              <w:t>取暖费</w:t>
            </w:r>
          </w:p>
        </w:tc>
        <w:tc>
          <w:tcPr>
            <w:tcW w:w="2551" w:type="dxa"/>
            <w:vAlign w:val="center"/>
          </w:tcPr>
          <w:p>
            <w:pPr>
              <w:pStyle w:val="21"/>
            </w:pPr>
            <w:r>
              <w:t>50.00</w:t>
            </w:r>
          </w:p>
        </w:tc>
        <w:tc>
          <w:tcPr>
            <w:tcW w:w="2551" w:type="dxa"/>
            <w:vAlign w:val="center"/>
          </w:tcPr>
          <w:p>
            <w:pPr>
              <w:pStyle w:val="21"/>
            </w:pPr>
          </w:p>
        </w:tc>
        <w:tc>
          <w:tcPr>
            <w:tcW w:w="2551" w:type="dxa"/>
            <w:vAlign w:val="center"/>
          </w:tcPr>
          <w:p>
            <w:pPr>
              <w:pStyle w:val="21"/>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30213</w:t>
            </w:r>
          </w:p>
        </w:tc>
        <w:tc>
          <w:tcPr>
            <w:tcW w:w="4535" w:type="dxa"/>
            <w:vAlign w:val="center"/>
          </w:tcPr>
          <w:p>
            <w:pPr>
              <w:pStyle w:val="22"/>
            </w:pPr>
            <w:r>
              <w:t>维修(护)费</w:t>
            </w:r>
          </w:p>
        </w:tc>
        <w:tc>
          <w:tcPr>
            <w:tcW w:w="2551" w:type="dxa"/>
            <w:vAlign w:val="center"/>
          </w:tcPr>
          <w:p>
            <w:pPr>
              <w:pStyle w:val="21"/>
            </w:pPr>
            <w:r>
              <w:t>30.00</w:t>
            </w:r>
          </w:p>
        </w:tc>
        <w:tc>
          <w:tcPr>
            <w:tcW w:w="2551" w:type="dxa"/>
            <w:vAlign w:val="center"/>
          </w:tcPr>
          <w:p>
            <w:pPr>
              <w:pStyle w:val="21"/>
            </w:pPr>
          </w:p>
        </w:tc>
        <w:tc>
          <w:tcPr>
            <w:tcW w:w="2551" w:type="dxa"/>
            <w:vAlign w:val="center"/>
          </w:tcPr>
          <w:p>
            <w:pPr>
              <w:pStyle w:val="21"/>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30216</w:t>
            </w:r>
          </w:p>
        </w:tc>
        <w:tc>
          <w:tcPr>
            <w:tcW w:w="4535" w:type="dxa"/>
            <w:vAlign w:val="center"/>
          </w:tcPr>
          <w:p>
            <w:pPr>
              <w:pStyle w:val="22"/>
            </w:pPr>
            <w:r>
              <w:t>培训费</w:t>
            </w:r>
          </w:p>
        </w:tc>
        <w:tc>
          <w:tcPr>
            <w:tcW w:w="2551" w:type="dxa"/>
            <w:vAlign w:val="center"/>
          </w:tcPr>
          <w:p>
            <w:pPr>
              <w:pStyle w:val="21"/>
            </w:pPr>
            <w:r>
              <w:t>2.75</w:t>
            </w:r>
          </w:p>
        </w:tc>
        <w:tc>
          <w:tcPr>
            <w:tcW w:w="2551" w:type="dxa"/>
            <w:vAlign w:val="center"/>
          </w:tcPr>
          <w:p>
            <w:pPr>
              <w:pStyle w:val="21"/>
            </w:pPr>
          </w:p>
        </w:tc>
        <w:tc>
          <w:tcPr>
            <w:tcW w:w="2551" w:type="dxa"/>
            <w:vAlign w:val="center"/>
          </w:tcPr>
          <w:p>
            <w:pPr>
              <w:pStyle w:val="21"/>
            </w:pPr>
            <w:r>
              <w:t>2.75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30226</w:t>
            </w:r>
          </w:p>
        </w:tc>
        <w:tc>
          <w:tcPr>
            <w:tcW w:w="4535" w:type="dxa"/>
            <w:vAlign w:val="center"/>
          </w:tcPr>
          <w:p>
            <w:pPr>
              <w:pStyle w:val="22"/>
            </w:pPr>
            <w:r>
              <w:t>劳务费</w:t>
            </w:r>
          </w:p>
        </w:tc>
        <w:tc>
          <w:tcPr>
            <w:tcW w:w="2551" w:type="dxa"/>
            <w:vAlign w:val="center"/>
          </w:tcPr>
          <w:p>
            <w:pPr>
              <w:pStyle w:val="21"/>
            </w:pPr>
            <w:r>
              <w:t>100.00</w:t>
            </w:r>
          </w:p>
        </w:tc>
        <w:tc>
          <w:tcPr>
            <w:tcW w:w="2551" w:type="dxa"/>
            <w:vAlign w:val="center"/>
          </w:tcPr>
          <w:p>
            <w:pPr>
              <w:pStyle w:val="21"/>
            </w:pPr>
          </w:p>
        </w:tc>
        <w:tc>
          <w:tcPr>
            <w:tcW w:w="2551" w:type="dxa"/>
            <w:vAlign w:val="center"/>
          </w:tcPr>
          <w:p>
            <w:pPr>
              <w:pStyle w:val="21"/>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6.09</w:t>
            </w:r>
          </w:p>
        </w:tc>
        <w:tc>
          <w:tcPr>
            <w:tcW w:w="2551" w:type="dxa"/>
            <w:vAlign w:val="center"/>
          </w:tcPr>
          <w:p>
            <w:pPr>
              <w:pStyle w:val="21"/>
            </w:pPr>
          </w:p>
        </w:tc>
        <w:tc>
          <w:tcPr>
            <w:tcW w:w="2551" w:type="dxa"/>
            <w:vAlign w:val="center"/>
          </w:tcPr>
          <w:p>
            <w:pPr>
              <w:pStyle w:val="21"/>
            </w:pPr>
            <w:r>
              <w:t>6.09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4.59</w:t>
            </w:r>
          </w:p>
        </w:tc>
        <w:tc>
          <w:tcPr>
            <w:tcW w:w="2551" w:type="dxa"/>
            <w:vAlign w:val="center"/>
          </w:tcPr>
          <w:p>
            <w:pPr>
              <w:pStyle w:val="21"/>
            </w:pPr>
          </w:p>
        </w:tc>
        <w:tc>
          <w:tcPr>
            <w:tcW w:w="2551" w:type="dxa"/>
            <w:vAlign w:val="center"/>
          </w:tcPr>
          <w:p>
            <w:pPr>
              <w:pStyle w:val="21"/>
            </w:pPr>
            <w:r>
              <w:t>4.59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129.25</w:t>
            </w:r>
          </w:p>
        </w:tc>
        <w:tc>
          <w:tcPr>
            <w:tcW w:w="2551" w:type="dxa"/>
            <w:vAlign w:val="center"/>
          </w:tcPr>
          <w:p>
            <w:pPr>
              <w:pStyle w:val="21"/>
            </w:pPr>
            <w:r>
              <w:t>129.25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94.67</w:t>
            </w:r>
          </w:p>
        </w:tc>
        <w:tc>
          <w:tcPr>
            <w:tcW w:w="2551" w:type="dxa"/>
            <w:vAlign w:val="center"/>
          </w:tcPr>
          <w:p>
            <w:pPr>
              <w:pStyle w:val="21"/>
            </w:pPr>
            <w:r>
              <w:t>94.67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34.54</w:t>
            </w:r>
          </w:p>
        </w:tc>
        <w:tc>
          <w:tcPr>
            <w:tcW w:w="2551" w:type="dxa"/>
            <w:vAlign w:val="center"/>
          </w:tcPr>
          <w:p>
            <w:pPr>
              <w:pStyle w:val="21"/>
            </w:pPr>
            <w:r>
              <w:t>34.54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0.04</w:t>
            </w:r>
          </w:p>
        </w:tc>
        <w:tc>
          <w:tcPr>
            <w:tcW w:w="2551" w:type="dxa"/>
            <w:vAlign w:val="center"/>
          </w:tcPr>
          <w:p>
            <w:pPr>
              <w:pStyle w:val="21"/>
            </w:pPr>
            <w:r>
              <w:t>0.04</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501402霸州市职业技术中学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501402霸州市职业技术中学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501402霸州市职业技术中学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4"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1"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p>
        </w:tc>
        <w:tc>
          <w:tcPr>
            <w:tcW w:w="3798" w:type="dxa"/>
            <w:vAlign w:val="center"/>
          </w:tcPr>
          <w:p>
            <w:pPr>
              <w:pStyle w:val="22"/>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霸州市职业技术中学2023年单位预算信息公开情况说明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按照《预算法》、《地方预决算公开操作规程》和《关于进一步推进预算公开工作的实施意见》规定，现将霸州市职业技术中学2023年单位预算公开如下：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霸州市职业技术中学</w:t>
            </w:r>
          </w:p>
        </w:tc>
        <w:tc>
          <w:tcPr>
            <w:tcW w:w="1843" w:type="dxa"/>
            <w:vAlign w:val="center"/>
          </w:tcPr>
          <w:p>
            <w:pPr>
              <w:pStyle w:val="23"/>
            </w:pPr>
            <w:r>
              <w:t>事业</w:t>
            </w:r>
          </w:p>
        </w:tc>
        <w:tc>
          <w:tcPr>
            <w:tcW w:w="2126" w:type="dxa"/>
            <w:vAlign w:val="center"/>
          </w:tcPr>
          <w:p>
            <w:pPr>
              <w:pStyle w:val="23"/>
            </w:pPr>
            <w:r>
              <w:t>正科级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val="en-US" w:eastAsia="zh-CN"/>
        </w:rPr>
        <w:t>1675.35</w:t>
      </w:r>
      <w:r>
        <w:rPr>
          <w:rFonts w:hint="eastAsia" w:ascii="方正仿宋_GBK"/>
        </w:rPr>
        <w:t>万元，其中：一般公共预算收入</w:t>
      </w:r>
      <w:r>
        <w:rPr>
          <w:rFonts w:hint="eastAsia" w:ascii="方正仿宋_GBK"/>
          <w:lang w:val="en-US" w:eastAsia="zh-CN"/>
        </w:rPr>
        <w:t>1558.35</w:t>
      </w:r>
      <w:r>
        <w:rPr>
          <w:rFonts w:hint="eastAsia" w:ascii="方正仿宋_GBK"/>
        </w:rPr>
        <w:t>万元，基金预算收入</w:t>
      </w:r>
      <w:r>
        <w:rPr>
          <w:rFonts w:hint="eastAsia" w:ascii="方正仿宋_GBK"/>
          <w:lang w:val="en-US" w:eastAsia="zh-CN"/>
        </w:rPr>
        <w:t>0</w:t>
      </w:r>
      <w:r>
        <w:rPr>
          <w:rFonts w:hint="eastAsia" w:ascii="方正仿宋_GBK"/>
        </w:rPr>
        <w:t>万元，财政专户核拨收入</w:t>
      </w:r>
      <w:r>
        <w:rPr>
          <w:rFonts w:hint="eastAsia" w:ascii="方正仿宋_GBK"/>
          <w:lang w:val="en-US" w:eastAsia="zh-CN"/>
        </w:rPr>
        <w:t>69</w:t>
      </w:r>
      <w:r>
        <w:rPr>
          <w:rFonts w:hint="eastAsia" w:ascii="方正仿宋_GBK"/>
        </w:rPr>
        <w:t>万元，其他来源收入*</w:t>
      </w:r>
      <w:r>
        <w:rPr>
          <w:rFonts w:hint="eastAsia" w:ascii="方正仿宋_GBK"/>
          <w:lang w:val="en-US" w:eastAsia="zh-CN"/>
        </w:rPr>
        <w:t>0</w:t>
      </w:r>
      <w:r>
        <w:rPr>
          <w:rFonts w:hint="eastAsia" w:ascii="方正仿宋_GBK"/>
        </w:rPr>
        <w:t>万元，上年结转</w:t>
      </w:r>
      <w:r>
        <w:rPr>
          <w:rFonts w:hint="eastAsia" w:ascii="方正仿宋_GBK"/>
          <w:lang w:val="en-US" w:eastAsia="zh-CN"/>
        </w:rPr>
        <w:t>48</w:t>
      </w:r>
      <w:r>
        <w:rPr>
          <w:rFonts w:hint="eastAsia" w:ascii="方正仿宋_GBK"/>
        </w:rPr>
        <w:t>万元（有则写，无则填0万元）。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w:t>
      </w:r>
      <w:r>
        <w:rPr>
          <w:rFonts w:hint="eastAsia" w:ascii="方正仿宋_GBK"/>
          <w:lang w:eastAsia="zh-CN"/>
        </w:rPr>
        <w:t>本</w:t>
      </w:r>
      <w:r>
        <w:rPr>
          <w:rFonts w:hint="eastAsia" w:ascii="方正仿宋_GBK"/>
        </w:rPr>
        <w:t>单位2023年度单位预算中支出预算的总体情况。2023年支出预算</w:t>
      </w:r>
      <w:r>
        <w:rPr>
          <w:rFonts w:hint="eastAsia" w:ascii="方正仿宋_GBK"/>
          <w:lang w:val="en-US" w:eastAsia="zh-CN"/>
        </w:rPr>
        <w:t>1675.35</w:t>
      </w:r>
      <w:r>
        <w:rPr>
          <w:rFonts w:hint="eastAsia" w:ascii="方正仿宋_GBK"/>
        </w:rPr>
        <w:t>万元，其中：基本支出</w:t>
      </w:r>
      <w:r>
        <w:rPr>
          <w:rFonts w:hint="eastAsia" w:ascii="方正仿宋_GBK"/>
          <w:lang w:val="en-US" w:eastAsia="zh-CN"/>
        </w:rPr>
        <w:t>991.05</w:t>
      </w:r>
      <w:r>
        <w:rPr>
          <w:rFonts w:hint="eastAsia" w:ascii="方正仿宋_GBK"/>
        </w:rPr>
        <w:t>万元，包括人员经费</w:t>
      </w:r>
      <w:r>
        <w:rPr>
          <w:rFonts w:hint="eastAsia" w:ascii="方正仿宋_GBK"/>
          <w:lang w:val="en-US" w:eastAsia="zh-CN"/>
        </w:rPr>
        <w:t>764.37</w:t>
      </w:r>
      <w:r>
        <w:rPr>
          <w:rFonts w:hint="eastAsia" w:ascii="方正仿宋_GBK"/>
        </w:rPr>
        <w:t>万元和日常公用经费</w:t>
      </w:r>
      <w:r>
        <w:rPr>
          <w:rFonts w:hint="eastAsia" w:ascii="方正仿宋_GBK"/>
          <w:lang w:val="en-US" w:eastAsia="zh-CN"/>
        </w:rPr>
        <w:t>226.68</w:t>
      </w:r>
      <w:r>
        <w:rPr>
          <w:rFonts w:hint="eastAsia" w:ascii="方正仿宋_GBK"/>
        </w:rPr>
        <w:t>万元；项目支出</w:t>
      </w:r>
      <w:r>
        <w:rPr>
          <w:rFonts w:hint="eastAsia" w:ascii="方正仿宋_GBK"/>
          <w:lang w:val="en-US" w:eastAsia="zh-CN"/>
        </w:rPr>
        <w:t>615.3</w:t>
      </w:r>
      <w:r>
        <w:rPr>
          <w:rFonts w:hint="eastAsia" w:ascii="方正仿宋_GBK"/>
        </w:rPr>
        <w:t>万元，主要为：</w:t>
      </w:r>
      <w:r>
        <w:rPr>
          <w:rFonts w:hint="eastAsia" w:ascii="方正仿宋_GBK"/>
          <w:lang w:eastAsia="zh-CN"/>
        </w:rPr>
        <w:t>物业</w:t>
      </w:r>
      <w:r>
        <w:rPr>
          <w:rFonts w:hint="eastAsia" w:ascii="方正仿宋_GBK"/>
        </w:rPr>
        <w:t>经费</w:t>
      </w:r>
      <w:r>
        <w:rPr>
          <w:rFonts w:hint="eastAsia" w:ascii="方正仿宋_GBK"/>
          <w:lang w:val="en-US" w:eastAsia="zh-CN"/>
        </w:rPr>
        <w:t>90万元</w:t>
      </w:r>
      <w:r>
        <w:rPr>
          <w:rFonts w:hint="eastAsia" w:ascii="方正仿宋_GBK"/>
          <w:lang w:eastAsia="zh-CN"/>
        </w:rPr>
        <w:t>、取暖经费</w:t>
      </w:r>
      <w:r>
        <w:rPr>
          <w:rFonts w:hint="eastAsia" w:ascii="方正仿宋_GBK"/>
          <w:lang w:val="en-US" w:eastAsia="zh-CN"/>
        </w:rPr>
        <w:t>40万元、维修经费77万元、专用材料经费20万元、劳务经费88万元</w:t>
      </w:r>
      <w:r>
        <w:rPr>
          <w:rFonts w:hint="eastAsia" w:ascii="方正仿宋_GBK"/>
        </w:rPr>
        <w:t>（列举3-6个主要的项目）。</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val="en-US" w:eastAsia="zh-CN"/>
        </w:rPr>
        <w:t>1675.35</w:t>
      </w:r>
      <w:r>
        <w:rPr>
          <w:rFonts w:hint="eastAsia" w:ascii="方正仿宋_GBK"/>
        </w:rPr>
        <w:t>万元，较2022年预算增加</w:t>
      </w:r>
      <w:r>
        <w:rPr>
          <w:rFonts w:hint="eastAsia" w:ascii="方正仿宋_GBK"/>
          <w:lang w:val="en-US" w:eastAsia="zh-CN"/>
        </w:rPr>
        <w:t>471.93</w:t>
      </w:r>
      <w:r>
        <w:rPr>
          <w:rFonts w:hint="eastAsia" w:ascii="方正仿宋_GBK"/>
        </w:rPr>
        <w:t>万元，其中：基本支出增加</w:t>
      </w:r>
      <w:r>
        <w:rPr>
          <w:rFonts w:hint="eastAsia" w:ascii="方正仿宋_GBK"/>
          <w:lang w:val="en-US" w:eastAsia="zh-CN"/>
        </w:rPr>
        <w:t>176.37</w:t>
      </w:r>
      <w:r>
        <w:rPr>
          <w:rFonts w:hint="eastAsia" w:ascii="方正仿宋_GBK"/>
        </w:rPr>
        <w:t>万元，主要为</w:t>
      </w:r>
      <w:r>
        <w:rPr>
          <w:rFonts w:hint="eastAsia" w:ascii="方正仿宋_GBK"/>
          <w:lang w:eastAsia="zh-CN"/>
        </w:rPr>
        <w:t>增加公用经费</w:t>
      </w:r>
      <w:r>
        <w:rPr>
          <w:rFonts w:hint="eastAsia" w:ascii="方正仿宋_GBK"/>
        </w:rPr>
        <w:t>支出；项目支出增加</w:t>
      </w:r>
      <w:r>
        <w:rPr>
          <w:rFonts w:hint="eastAsia" w:ascii="方正仿宋_GBK"/>
          <w:lang w:val="en-US" w:eastAsia="zh-CN"/>
        </w:rPr>
        <w:t>280.56</w:t>
      </w:r>
      <w:r>
        <w:rPr>
          <w:rFonts w:hint="eastAsia" w:ascii="方正仿宋_GBK"/>
        </w:rPr>
        <w:t>万元，主要为</w:t>
      </w:r>
      <w:r>
        <w:rPr>
          <w:rFonts w:hint="eastAsia" w:ascii="方正仿宋_GBK"/>
          <w:lang w:eastAsia="zh-CN"/>
        </w:rPr>
        <w:t>增加免学费</w:t>
      </w:r>
      <w:r>
        <w:rPr>
          <w:rFonts w:hint="eastAsia" w:ascii="方正仿宋_GBK"/>
        </w:rPr>
        <w:t>项目支出。</w:t>
      </w: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hint="eastAsia" w:ascii="方正仿宋_GBK"/>
          <w:lang w:val="en-US" w:eastAsia="zh-CN"/>
        </w:rPr>
        <w:t>295.68</w:t>
      </w:r>
      <w:r>
        <w:rPr>
          <w:rFonts w:hint="eastAsia" w:ascii="方正仿宋_GBK"/>
        </w:rPr>
        <w:t>万元，主要用于</w:t>
      </w:r>
      <w:r>
        <w:rPr>
          <w:rFonts w:hint="eastAsia" w:ascii="方正仿宋_GBK"/>
          <w:lang w:eastAsia="zh-CN"/>
        </w:rPr>
        <w:t>取暖费、维修费、办公费、劳务费</w:t>
      </w:r>
      <w:r>
        <w:rPr>
          <w:rFonts w:hint="eastAsia" w:ascii="方正仿宋_GBK"/>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val="en-US" w:eastAsia="zh-CN"/>
        </w:rPr>
        <w:t>0</w:t>
      </w:r>
      <w:r>
        <w:rPr>
          <w:rFonts w:hint="eastAsia" w:ascii="方正仿宋_GBK"/>
        </w:rPr>
        <w:t>万元。其中，因公出国（境）费</w:t>
      </w:r>
      <w:r>
        <w:rPr>
          <w:rFonts w:hint="eastAsia" w:ascii="方正仿宋_GBK"/>
          <w:lang w:val="en-US" w:eastAsia="zh-CN"/>
        </w:rPr>
        <w:t>0</w:t>
      </w:r>
      <w:r>
        <w:rPr>
          <w:rFonts w:hint="eastAsia" w:ascii="方正仿宋_GBK"/>
        </w:rPr>
        <w:t>万元；公务用车购置及运维费</w:t>
      </w:r>
      <w:r>
        <w:rPr>
          <w:rFonts w:hint="eastAsia" w:ascii="方正仿宋_GBK"/>
          <w:lang w:val="en-US" w:eastAsia="zh-CN"/>
        </w:rPr>
        <w:t>0</w:t>
      </w:r>
      <w:r>
        <w:rPr>
          <w:rFonts w:hint="eastAsia" w:ascii="方正仿宋_GBK"/>
        </w:rPr>
        <w:t>万元（其中：公务用车购置费为</w:t>
      </w:r>
      <w:r>
        <w:rPr>
          <w:rFonts w:hint="eastAsia" w:ascii="方正仿宋_GBK"/>
          <w:lang w:val="en-US" w:eastAsia="zh-CN"/>
        </w:rPr>
        <w:t>0</w:t>
      </w:r>
      <w:r>
        <w:rPr>
          <w:rFonts w:hint="eastAsia" w:ascii="方正仿宋_GBK"/>
        </w:rPr>
        <w:t>万元，公务用车运维费</w:t>
      </w:r>
      <w:r>
        <w:rPr>
          <w:rFonts w:hint="eastAsia" w:ascii="方正仿宋_GBK"/>
          <w:lang w:val="en-US" w:eastAsia="zh-CN"/>
        </w:rPr>
        <w:t>0</w:t>
      </w:r>
      <w:r>
        <w:rPr>
          <w:rFonts w:hint="eastAsia" w:ascii="方正仿宋_GBK"/>
        </w:rPr>
        <w:t>万元)；公务接待费</w:t>
      </w:r>
      <w:r>
        <w:rPr>
          <w:rFonts w:hint="eastAsia" w:ascii="方正仿宋_GBK"/>
          <w:lang w:val="en-US" w:eastAsia="zh-CN"/>
        </w:rPr>
        <w:t>0</w:t>
      </w:r>
      <w:r>
        <w:rPr>
          <w:rFonts w:hint="eastAsia" w:ascii="方正仿宋_GBK"/>
        </w:rPr>
        <w:t>万元。与2022年相比持平</w:t>
      </w:r>
      <w:r>
        <w:rPr>
          <w:rFonts w:hint="eastAsia" w:ascii="方正仿宋_GBK"/>
          <w:lang w:val="en-US" w:eastAsia="zh-CN"/>
        </w:rPr>
        <w:t>0</w:t>
      </w:r>
      <w:r>
        <w:rPr>
          <w:rFonts w:hint="eastAsia" w:ascii="方正仿宋_GBK"/>
        </w:rPr>
        <w:t>万元，其中，公务用车购置及运维</w:t>
      </w:r>
      <w:r>
        <w:rPr>
          <w:rFonts w:hint="eastAsia" w:ascii="方正仿宋_GBK"/>
          <w:lang w:val="en-US" w:eastAsia="zh-CN"/>
        </w:rPr>
        <w:t>0</w:t>
      </w:r>
      <w:r>
        <w:rPr>
          <w:rFonts w:hint="eastAsia" w:ascii="方正仿宋_GBK"/>
        </w:rPr>
        <w:t>万元，与2022年相比持平，无增减变化；公务接待费</w:t>
      </w:r>
      <w:r>
        <w:rPr>
          <w:rFonts w:hint="eastAsia" w:ascii="方正仿宋_GBK"/>
          <w:lang w:val="en-US" w:eastAsia="zh-CN"/>
        </w:rPr>
        <w:t>0</w:t>
      </w:r>
      <w:r>
        <w:rPr>
          <w:rFonts w:hint="eastAsia" w:ascii="方正仿宋_GBK"/>
        </w:rPr>
        <w:t>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1、关于提前下达2022年省级现代职业教育发展专项资金预算的通知(生均经费奖补)(冀财教[2021]165号)绩效目标表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1.改善职业学校办学条件，保障中职学校正常运行。</w:t>
            </w:r>
            <w:r>
              <w:tab/>
            </w:r>
            <w:r>
              <w:tab/>
            </w:r>
            <w:r>
              <w:tab/>
            </w:r>
            <w:r>
              <w:tab/>
            </w:r>
            <w:r>
              <w:tab/>
            </w:r>
            <w:r>
              <w:tab/>
            </w:r>
          </w:p>
          <w:p>
            <w:pPr>
              <w:pStyle w:val="22"/>
            </w:pPr>
          </w:p>
          <w:p>
            <w:pPr>
              <w:pStyle w:val="22"/>
            </w:pPr>
            <w:r>
              <w:t>2.购买窗帘、稳压器等。</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质量指标</w:t>
            </w:r>
          </w:p>
        </w:tc>
        <w:tc>
          <w:tcPr>
            <w:tcW w:w="2835" w:type="dxa"/>
            <w:vAlign w:val="center"/>
          </w:tcPr>
          <w:p>
            <w:pPr>
              <w:pStyle w:val="22"/>
            </w:pPr>
            <w:r>
              <w:t>购置仪器设备合格率</w:t>
            </w:r>
          </w:p>
        </w:tc>
        <w:tc>
          <w:tcPr>
            <w:tcW w:w="2835" w:type="dxa"/>
            <w:vAlign w:val="center"/>
          </w:tcPr>
          <w:p>
            <w:pPr>
              <w:pStyle w:val="22"/>
            </w:pPr>
            <w:r>
              <w:t>购置仪器设备合格率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资金支付时间</w:t>
            </w:r>
          </w:p>
        </w:tc>
        <w:tc>
          <w:tcPr>
            <w:tcW w:w="2835" w:type="dxa"/>
            <w:vAlign w:val="center"/>
          </w:tcPr>
          <w:p>
            <w:pPr>
              <w:pStyle w:val="22"/>
            </w:pPr>
            <w:r>
              <w:t>资金支付时间</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指标补助标准（元/人）</w:t>
            </w:r>
          </w:p>
        </w:tc>
        <w:tc>
          <w:tcPr>
            <w:tcW w:w="2835" w:type="dxa"/>
            <w:vAlign w:val="center"/>
          </w:tcPr>
          <w:p>
            <w:pPr>
              <w:pStyle w:val="22"/>
            </w:pPr>
            <w:r>
              <w:t>在校生每名补助标准</w:t>
            </w:r>
          </w:p>
        </w:tc>
        <w:tc>
          <w:tcPr>
            <w:tcW w:w="2551" w:type="dxa"/>
            <w:vAlign w:val="center"/>
          </w:tcPr>
          <w:p>
            <w:pPr>
              <w:pStyle w:val="22"/>
            </w:pPr>
            <w:r>
              <w:t>1000元</w:t>
            </w:r>
          </w:p>
        </w:tc>
        <w:tc>
          <w:tcPr>
            <w:tcW w:w="2268" w:type="dxa"/>
            <w:vAlign w:val="center"/>
          </w:tcPr>
          <w:p>
            <w:pPr>
              <w:pStyle w:val="22"/>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享受生均经费人数（人）</w:t>
            </w:r>
          </w:p>
        </w:tc>
        <w:tc>
          <w:tcPr>
            <w:tcW w:w="2835" w:type="dxa"/>
            <w:vAlign w:val="center"/>
          </w:tcPr>
          <w:p>
            <w:pPr>
              <w:pStyle w:val="22"/>
            </w:pPr>
            <w:r>
              <w:t>享受生均经费在校生人数</w:t>
            </w:r>
          </w:p>
        </w:tc>
        <w:tc>
          <w:tcPr>
            <w:tcW w:w="2551" w:type="dxa"/>
            <w:vAlign w:val="center"/>
          </w:tcPr>
          <w:p>
            <w:pPr>
              <w:pStyle w:val="22"/>
            </w:pPr>
            <w:r>
              <w:t>1318人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对职业高中学生资助年限（年）</w:t>
            </w:r>
          </w:p>
        </w:tc>
        <w:tc>
          <w:tcPr>
            <w:tcW w:w="2835" w:type="dxa"/>
            <w:vAlign w:val="center"/>
          </w:tcPr>
          <w:p>
            <w:pPr>
              <w:pStyle w:val="22"/>
            </w:pPr>
            <w:r>
              <w:t>对在校生实行资助年限</w:t>
            </w:r>
          </w:p>
        </w:tc>
        <w:tc>
          <w:tcPr>
            <w:tcW w:w="2551" w:type="dxa"/>
            <w:vAlign w:val="center"/>
          </w:tcPr>
          <w:p>
            <w:pPr>
              <w:pStyle w:val="22"/>
            </w:pPr>
            <w:r>
              <w:t>3年</w:t>
            </w:r>
          </w:p>
        </w:tc>
        <w:tc>
          <w:tcPr>
            <w:tcW w:w="2268" w:type="dxa"/>
            <w:vAlign w:val="center"/>
          </w:tcPr>
          <w:p>
            <w:pPr>
              <w:pStyle w:val="22"/>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补助覆盖率（%）</w:t>
            </w:r>
          </w:p>
        </w:tc>
        <w:tc>
          <w:tcPr>
            <w:tcW w:w="2835" w:type="dxa"/>
            <w:vAlign w:val="center"/>
          </w:tcPr>
          <w:p>
            <w:pPr>
              <w:pStyle w:val="22"/>
            </w:pPr>
            <w:r>
              <w:t>已享受免学费补助资金学生占中等职业学校学生的比率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服务对象满意度指标</w:t>
            </w:r>
          </w:p>
        </w:tc>
        <w:tc>
          <w:tcPr>
            <w:tcW w:w="2835" w:type="dxa"/>
            <w:vAlign w:val="center"/>
          </w:tcPr>
          <w:p>
            <w:pPr>
              <w:pStyle w:val="22"/>
            </w:pPr>
            <w:r>
              <w:t>受益对象满意度（%）</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2、关于提前下达2023年省级现代职业教育发展专项资金预算的通知(中职免学费)(冀财教[2022]183号)绩效目标表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1.预计共补助2160名在校生用于免学费，每名补助2000元。</w:t>
            </w:r>
          </w:p>
          <w:p>
            <w:pPr>
              <w:pStyle w:val="22"/>
            </w:pPr>
            <w:r>
              <w:t>2.保障中职学校正常运转。</w:t>
            </w:r>
          </w:p>
          <w:p>
            <w:pPr>
              <w:pStyle w:val="22"/>
            </w:pPr>
            <w:r>
              <w:t>3.在校生在校期间全部免学费。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享受免学费人数</w:t>
            </w:r>
          </w:p>
        </w:tc>
        <w:tc>
          <w:tcPr>
            <w:tcW w:w="2835" w:type="dxa"/>
            <w:vAlign w:val="center"/>
          </w:tcPr>
          <w:p>
            <w:pPr>
              <w:pStyle w:val="22"/>
            </w:pPr>
            <w:r>
              <w:t>享受免学费在校生人数</w:t>
            </w:r>
          </w:p>
        </w:tc>
        <w:tc>
          <w:tcPr>
            <w:tcW w:w="2551" w:type="dxa"/>
            <w:vAlign w:val="center"/>
          </w:tcPr>
          <w:p>
            <w:pPr>
              <w:pStyle w:val="22"/>
            </w:pPr>
            <w:r>
              <w:t>2160人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补助覆盖率(%)</w:t>
            </w:r>
          </w:p>
        </w:tc>
        <w:tc>
          <w:tcPr>
            <w:tcW w:w="2835" w:type="dxa"/>
            <w:vAlign w:val="center"/>
          </w:tcPr>
          <w:p>
            <w:pPr>
              <w:pStyle w:val="22"/>
            </w:pPr>
            <w:r>
              <w:t>已补助人数占应补助人群的比率</w:t>
            </w:r>
          </w:p>
        </w:tc>
        <w:tc>
          <w:tcPr>
            <w:tcW w:w="2551" w:type="dxa"/>
            <w:vAlign w:val="center"/>
          </w:tcPr>
          <w:p>
            <w:pPr>
              <w:pStyle w:val="22"/>
            </w:pPr>
            <w:r>
              <w:t>≥95%</w:t>
            </w:r>
          </w:p>
        </w:tc>
        <w:tc>
          <w:tcPr>
            <w:tcW w:w="2268" w:type="dxa"/>
            <w:vAlign w:val="center"/>
          </w:tcPr>
          <w:p>
            <w:pPr>
              <w:pStyle w:val="22"/>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资金支付时间</w:t>
            </w:r>
          </w:p>
        </w:tc>
        <w:tc>
          <w:tcPr>
            <w:tcW w:w="2835" w:type="dxa"/>
            <w:vAlign w:val="center"/>
          </w:tcPr>
          <w:p>
            <w:pPr>
              <w:pStyle w:val="22"/>
            </w:pPr>
            <w:r>
              <w:t>资金支付时间</w:t>
            </w:r>
          </w:p>
        </w:tc>
        <w:tc>
          <w:tcPr>
            <w:tcW w:w="2551" w:type="dxa"/>
            <w:vAlign w:val="center"/>
          </w:tcPr>
          <w:p>
            <w:pPr>
              <w:pStyle w:val="22"/>
            </w:pPr>
            <w:r>
              <w:t>按月支付</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完成学校正常运转</w:t>
            </w:r>
          </w:p>
        </w:tc>
        <w:tc>
          <w:tcPr>
            <w:tcW w:w="2835" w:type="dxa"/>
            <w:vAlign w:val="center"/>
          </w:tcPr>
          <w:p>
            <w:pPr>
              <w:pStyle w:val="22"/>
            </w:pPr>
            <w:r>
              <w:t>免学费资金完成学校正常教学运转</w:t>
            </w:r>
          </w:p>
        </w:tc>
        <w:tc>
          <w:tcPr>
            <w:tcW w:w="2551" w:type="dxa"/>
            <w:vAlign w:val="center"/>
          </w:tcPr>
          <w:p>
            <w:pPr>
              <w:pStyle w:val="22"/>
            </w:pPr>
            <w:r>
              <w:t>68万元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专任教师合格率（%）</w:t>
            </w:r>
          </w:p>
        </w:tc>
        <w:tc>
          <w:tcPr>
            <w:tcW w:w="2835" w:type="dxa"/>
            <w:vAlign w:val="center"/>
          </w:tcPr>
          <w:p>
            <w:pPr>
              <w:pStyle w:val="22"/>
            </w:pPr>
            <w:r>
              <w:t>按照各类教育教师学历达标人数占全部教师人数的比例</w:t>
            </w:r>
          </w:p>
        </w:tc>
        <w:tc>
          <w:tcPr>
            <w:tcW w:w="2551" w:type="dxa"/>
            <w:vAlign w:val="center"/>
          </w:tcPr>
          <w:p>
            <w:pPr>
              <w:pStyle w:val="22"/>
            </w:pPr>
            <w:r>
              <w:t>≥85%</w:t>
            </w:r>
          </w:p>
        </w:tc>
        <w:tc>
          <w:tcPr>
            <w:tcW w:w="2268" w:type="dxa"/>
            <w:vAlign w:val="center"/>
          </w:tcPr>
          <w:p>
            <w:pPr>
              <w:pStyle w:val="22"/>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可持续影响指标</w:t>
            </w:r>
          </w:p>
        </w:tc>
        <w:tc>
          <w:tcPr>
            <w:tcW w:w="2835" w:type="dxa"/>
            <w:vAlign w:val="center"/>
          </w:tcPr>
          <w:p>
            <w:pPr>
              <w:pStyle w:val="22"/>
            </w:pPr>
            <w:r>
              <w:t>对职业高中学生资助年限（年）</w:t>
            </w:r>
          </w:p>
        </w:tc>
        <w:tc>
          <w:tcPr>
            <w:tcW w:w="2835" w:type="dxa"/>
            <w:vAlign w:val="center"/>
          </w:tcPr>
          <w:p>
            <w:pPr>
              <w:pStyle w:val="22"/>
            </w:pPr>
            <w:r>
              <w:t>对在校生实行免学费政策年限</w:t>
            </w:r>
          </w:p>
        </w:tc>
        <w:tc>
          <w:tcPr>
            <w:tcW w:w="2551" w:type="dxa"/>
            <w:vAlign w:val="center"/>
          </w:tcPr>
          <w:p>
            <w:pPr>
              <w:pStyle w:val="22"/>
            </w:pPr>
            <w:r>
              <w:t>3年</w:t>
            </w:r>
          </w:p>
        </w:tc>
        <w:tc>
          <w:tcPr>
            <w:tcW w:w="2268" w:type="dxa"/>
            <w:vAlign w:val="center"/>
          </w:tcPr>
          <w:p>
            <w:pPr>
              <w:pStyle w:val="22"/>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3、关于提前下达2023年中央学生资助补助经费预算(直达资金)的通知(中职免学费)(冀财教[2022]178号)绩效目标表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1.预计共补助2160名在校生用于免学费，每名补助2000元。</w:t>
            </w:r>
          </w:p>
          <w:p>
            <w:pPr>
              <w:pStyle w:val="22"/>
            </w:pPr>
            <w:r>
              <w:t>2.保障中职学校正常运转。</w:t>
            </w:r>
          </w:p>
          <w:p>
            <w:pPr>
              <w:pStyle w:val="22"/>
            </w:pPr>
            <w:r>
              <w:t>3.在校生在校期间全部免学费。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享受免学费人数</w:t>
            </w:r>
          </w:p>
        </w:tc>
        <w:tc>
          <w:tcPr>
            <w:tcW w:w="2835" w:type="dxa"/>
            <w:vAlign w:val="center"/>
          </w:tcPr>
          <w:p>
            <w:pPr>
              <w:pStyle w:val="22"/>
            </w:pPr>
            <w:r>
              <w:t>享受免学费在校生人数</w:t>
            </w:r>
          </w:p>
        </w:tc>
        <w:tc>
          <w:tcPr>
            <w:tcW w:w="2551" w:type="dxa"/>
            <w:vAlign w:val="center"/>
          </w:tcPr>
          <w:p>
            <w:pPr>
              <w:pStyle w:val="22"/>
            </w:pPr>
            <w:r>
              <w:t>2160人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补助覆盖率(%)</w:t>
            </w:r>
          </w:p>
        </w:tc>
        <w:tc>
          <w:tcPr>
            <w:tcW w:w="2835" w:type="dxa"/>
            <w:vAlign w:val="center"/>
          </w:tcPr>
          <w:p>
            <w:pPr>
              <w:pStyle w:val="22"/>
            </w:pPr>
            <w:r>
              <w:t>已补助人数占应补助人群的比率</w:t>
            </w:r>
          </w:p>
        </w:tc>
        <w:tc>
          <w:tcPr>
            <w:tcW w:w="2551" w:type="dxa"/>
            <w:vAlign w:val="center"/>
          </w:tcPr>
          <w:p>
            <w:pPr>
              <w:pStyle w:val="22"/>
            </w:pPr>
            <w:r>
              <w:t>≥95%</w:t>
            </w:r>
          </w:p>
        </w:tc>
        <w:tc>
          <w:tcPr>
            <w:tcW w:w="2268" w:type="dxa"/>
            <w:vAlign w:val="center"/>
          </w:tcPr>
          <w:p>
            <w:pPr>
              <w:pStyle w:val="22"/>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资金支付时间</w:t>
            </w:r>
          </w:p>
        </w:tc>
        <w:tc>
          <w:tcPr>
            <w:tcW w:w="2835" w:type="dxa"/>
            <w:vAlign w:val="center"/>
          </w:tcPr>
          <w:p>
            <w:pPr>
              <w:pStyle w:val="22"/>
            </w:pPr>
            <w:r>
              <w:t>资金支付时间</w:t>
            </w:r>
          </w:p>
        </w:tc>
        <w:tc>
          <w:tcPr>
            <w:tcW w:w="2551" w:type="dxa"/>
            <w:vAlign w:val="center"/>
          </w:tcPr>
          <w:p>
            <w:pPr>
              <w:pStyle w:val="22"/>
            </w:pPr>
            <w:r>
              <w:t>按月支付</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完成学校正常运转</w:t>
            </w:r>
          </w:p>
        </w:tc>
        <w:tc>
          <w:tcPr>
            <w:tcW w:w="2835" w:type="dxa"/>
            <w:vAlign w:val="center"/>
          </w:tcPr>
          <w:p>
            <w:pPr>
              <w:pStyle w:val="22"/>
            </w:pPr>
            <w:r>
              <w:t>免学费资金完成学校正常教学运转</w:t>
            </w:r>
          </w:p>
        </w:tc>
        <w:tc>
          <w:tcPr>
            <w:tcW w:w="2551" w:type="dxa"/>
            <w:vAlign w:val="center"/>
          </w:tcPr>
          <w:p>
            <w:pPr>
              <w:pStyle w:val="22"/>
            </w:pPr>
            <w:r>
              <w:t>186万元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专任教师合格率（%）</w:t>
            </w:r>
          </w:p>
        </w:tc>
        <w:tc>
          <w:tcPr>
            <w:tcW w:w="2835" w:type="dxa"/>
            <w:vAlign w:val="center"/>
          </w:tcPr>
          <w:p>
            <w:pPr>
              <w:pStyle w:val="22"/>
            </w:pPr>
            <w:r>
              <w:t>按照各类教育教师学历达标人数占全部教师人数的比例</w:t>
            </w:r>
          </w:p>
        </w:tc>
        <w:tc>
          <w:tcPr>
            <w:tcW w:w="2551" w:type="dxa"/>
            <w:vAlign w:val="center"/>
          </w:tcPr>
          <w:p>
            <w:pPr>
              <w:pStyle w:val="22"/>
            </w:pPr>
            <w:r>
              <w:t>≥85%</w:t>
            </w:r>
          </w:p>
        </w:tc>
        <w:tc>
          <w:tcPr>
            <w:tcW w:w="2268" w:type="dxa"/>
            <w:vAlign w:val="center"/>
          </w:tcPr>
          <w:p>
            <w:pPr>
              <w:pStyle w:val="22"/>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可持续影响指标</w:t>
            </w:r>
          </w:p>
        </w:tc>
        <w:tc>
          <w:tcPr>
            <w:tcW w:w="2835" w:type="dxa"/>
            <w:vAlign w:val="center"/>
          </w:tcPr>
          <w:p>
            <w:pPr>
              <w:pStyle w:val="22"/>
            </w:pPr>
            <w:r>
              <w:t>对职业高中学生资助年限（年）</w:t>
            </w:r>
          </w:p>
        </w:tc>
        <w:tc>
          <w:tcPr>
            <w:tcW w:w="2835" w:type="dxa"/>
            <w:vAlign w:val="center"/>
          </w:tcPr>
          <w:p>
            <w:pPr>
              <w:pStyle w:val="22"/>
            </w:pPr>
            <w:r>
              <w:t>对在校生实行免学费政策年限</w:t>
            </w:r>
          </w:p>
        </w:tc>
        <w:tc>
          <w:tcPr>
            <w:tcW w:w="2551" w:type="dxa"/>
            <w:vAlign w:val="center"/>
          </w:tcPr>
          <w:p>
            <w:pPr>
              <w:pStyle w:val="22"/>
            </w:pPr>
            <w:r>
              <w:t>3年</w:t>
            </w:r>
          </w:p>
        </w:tc>
        <w:tc>
          <w:tcPr>
            <w:tcW w:w="2268" w:type="dxa"/>
            <w:vAlign w:val="center"/>
          </w:tcPr>
          <w:p>
            <w:pPr>
              <w:pStyle w:val="22"/>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4、中等职业学校免学费补助本级配套资金绩效目标表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1.预计共补助2160名在校生用于免学费，每名补助2000元。</w:t>
            </w:r>
          </w:p>
          <w:p>
            <w:pPr>
              <w:pStyle w:val="22"/>
            </w:pPr>
            <w:r>
              <w:t>2.保障中职学校正常运转。</w:t>
            </w:r>
          </w:p>
          <w:p>
            <w:pPr>
              <w:pStyle w:val="22"/>
            </w:pPr>
            <w:r>
              <w:t>3.在校生在校期间全部免学费。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享受免学费人数</w:t>
            </w:r>
          </w:p>
        </w:tc>
        <w:tc>
          <w:tcPr>
            <w:tcW w:w="2835" w:type="dxa"/>
            <w:vAlign w:val="center"/>
          </w:tcPr>
          <w:p>
            <w:pPr>
              <w:pStyle w:val="22"/>
            </w:pPr>
            <w:r>
              <w:t>享受免学费在校生人数</w:t>
            </w:r>
          </w:p>
        </w:tc>
        <w:tc>
          <w:tcPr>
            <w:tcW w:w="2551" w:type="dxa"/>
            <w:vAlign w:val="center"/>
          </w:tcPr>
          <w:p>
            <w:pPr>
              <w:pStyle w:val="22"/>
            </w:pPr>
            <w:r>
              <w:t>2160人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补助覆盖率(%)</w:t>
            </w:r>
          </w:p>
        </w:tc>
        <w:tc>
          <w:tcPr>
            <w:tcW w:w="2835" w:type="dxa"/>
            <w:vAlign w:val="center"/>
          </w:tcPr>
          <w:p>
            <w:pPr>
              <w:pStyle w:val="22"/>
            </w:pPr>
            <w:r>
              <w:t>补助人占应补助人的比率</w:t>
            </w:r>
          </w:p>
        </w:tc>
        <w:tc>
          <w:tcPr>
            <w:tcW w:w="2551" w:type="dxa"/>
            <w:vAlign w:val="center"/>
          </w:tcPr>
          <w:p>
            <w:pPr>
              <w:pStyle w:val="22"/>
            </w:pPr>
            <w:r>
              <w:t>≥95%</w:t>
            </w:r>
          </w:p>
        </w:tc>
        <w:tc>
          <w:tcPr>
            <w:tcW w:w="2268" w:type="dxa"/>
            <w:vAlign w:val="center"/>
          </w:tcPr>
          <w:p>
            <w:pPr>
              <w:pStyle w:val="22"/>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完成学校正常运转</w:t>
            </w:r>
          </w:p>
        </w:tc>
        <w:tc>
          <w:tcPr>
            <w:tcW w:w="2835" w:type="dxa"/>
            <w:vAlign w:val="center"/>
          </w:tcPr>
          <w:p>
            <w:pPr>
              <w:pStyle w:val="22"/>
            </w:pPr>
            <w:r>
              <w:t>资金保障正常教学运转</w:t>
            </w:r>
          </w:p>
        </w:tc>
        <w:tc>
          <w:tcPr>
            <w:tcW w:w="2551" w:type="dxa"/>
            <w:vAlign w:val="center"/>
          </w:tcPr>
          <w:p>
            <w:pPr>
              <w:pStyle w:val="22"/>
            </w:pPr>
            <w:r>
              <w:t>232万元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资金支付时间</w:t>
            </w:r>
          </w:p>
        </w:tc>
        <w:tc>
          <w:tcPr>
            <w:tcW w:w="2835" w:type="dxa"/>
            <w:vAlign w:val="center"/>
          </w:tcPr>
          <w:p>
            <w:pPr>
              <w:pStyle w:val="22"/>
            </w:pPr>
            <w:r>
              <w:t>资金支付时间</w:t>
            </w:r>
          </w:p>
        </w:tc>
        <w:tc>
          <w:tcPr>
            <w:tcW w:w="2551" w:type="dxa"/>
            <w:vAlign w:val="center"/>
          </w:tcPr>
          <w:p>
            <w:pPr>
              <w:pStyle w:val="22"/>
            </w:pPr>
            <w:r>
              <w:t>按月支付</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专任教师合格率（%）</w:t>
            </w:r>
          </w:p>
        </w:tc>
        <w:tc>
          <w:tcPr>
            <w:tcW w:w="2835" w:type="dxa"/>
            <w:vAlign w:val="center"/>
          </w:tcPr>
          <w:p>
            <w:pPr>
              <w:pStyle w:val="22"/>
            </w:pPr>
            <w:r>
              <w:t>教师学历达标人数占例</w:t>
            </w:r>
          </w:p>
        </w:tc>
        <w:tc>
          <w:tcPr>
            <w:tcW w:w="2551" w:type="dxa"/>
            <w:vAlign w:val="center"/>
          </w:tcPr>
          <w:p>
            <w:pPr>
              <w:pStyle w:val="22"/>
            </w:pPr>
            <w:r>
              <w:t>≥85%</w:t>
            </w:r>
          </w:p>
        </w:tc>
        <w:tc>
          <w:tcPr>
            <w:tcW w:w="2268" w:type="dxa"/>
            <w:vAlign w:val="center"/>
          </w:tcPr>
          <w:p>
            <w:pPr>
              <w:pStyle w:val="22"/>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可持续影响指标</w:t>
            </w:r>
          </w:p>
        </w:tc>
        <w:tc>
          <w:tcPr>
            <w:tcW w:w="2835" w:type="dxa"/>
            <w:vAlign w:val="center"/>
          </w:tcPr>
          <w:p>
            <w:pPr>
              <w:pStyle w:val="22"/>
            </w:pPr>
            <w:r>
              <w:t>对职业高中学生资助</w:t>
            </w:r>
          </w:p>
        </w:tc>
        <w:tc>
          <w:tcPr>
            <w:tcW w:w="2835" w:type="dxa"/>
            <w:vAlign w:val="center"/>
          </w:tcPr>
          <w:p>
            <w:pPr>
              <w:pStyle w:val="22"/>
            </w:pPr>
            <w:r>
              <w:t>对在校生免学费政策年限</w:t>
            </w:r>
          </w:p>
        </w:tc>
        <w:tc>
          <w:tcPr>
            <w:tcW w:w="2551" w:type="dxa"/>
            <w:vAlign w:val="center"/>
          </w:tcPr>
          <w:p>
            <w:pPr>
              <w:pStyle w:val="22"/>
            </w:pPr>
            <w:r>
              <w:t>3年</w:t>
            </w:r>
          </w:p>
        </w:tc>
        <w:tc>
          <w:tcPr>
            <w:tcW w:w="2268" w:type="dxa"/>
            <w:vAlign w:val="center"/>
          </w:tcPr>
          <w:p>
            <w:pPr>
              <w:pStyle w:val="22"/>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学生对学校满意度（%）</w:t>
            </w:r>
          </w:p>
        </w:tc>
        <w:tc>
          <w:tcPr>
            <w:tcW w:w="2835" w:type="dxa"/>
            <w:vAlign w:val="center"/>
          </w:tcPr>
          <w:p>
            <w:pPr>
              <w:pStyle w:val="22"/>
            </w:pPr>
            <w:r>
              <w:t>对学校满意的学生数占比率</w:t>
            </w:r>
          </w:p>
        </w:tc>
        <w:tc>
          <w:tcPr>
            <w:tcW w:w="2551" w:type="dxa"/>
            <w:vAlign w:val="center"/>
          </w:tcPr>
          <w:p>
            <w:pPr>
              <w:pStyle w:val="22"/>
            </w:pPr>
            <w:r>
              <w:t>≥95%</w:t>
            </w:r>
          </w:p>
        </w:tc>
        <w:tc>
          <w:tcPr>
            <w:tcW w:w="2268" w:type="dxa"/>
            <w:vAlign w:val="center"/>
          </w:tcPr>
          <w:p>
            <w:pPr>
              <w:pStyle w:val="22"/>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5、关于提前下达2022年省级现代职业教育发展专项资金预算的通知(中职助学金)(冀财教[2021]165号)绩效目标表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1.落实中等职业学校助学金政策，按教务处汇总贫困生总人数发放，提高学生满意度。</w:t>
            </w:r>
          </w:p>
          <w:p>
            <w:pPr>
              <w:pStyle w:val="22"/>
            </w:pPr>
            <w:r>
              <w:t>2.确实改变贫困生生活困难。</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成本指标</w:t>
            </w:r>
          </w:p>
        </w:tc>
        <w:tc>
          <w:tcPr>
            <w:tcW w:w="2835" w:type="dxa"/>
            <w:vAlign w:val="center"/>
          </w:tcPr>
          <w:p>
            <w:pPr>
              <w:pStyle w:val="22"/>
            </w:pPr>
            <w:r>
              <w:t>生均财政投入数（元/人）</w:t>
            </w:r>
          </w:p>
        </w:tc>
        <w:tc>
          <w:tcPr>
            <w:tcW w:w="2835" w:type="dxa"/>
            <w:vAlign w:val="center"/>
          </w:tcPr>
          <w:p>
            <w:pPr>
              <w:pStyle w:val="22"/>
            </w:pPr>
            <w:r>
              <w:t>教育支出与学生数的比值</w:t>
            </w:r>
          </w:p>
        </w:tc>
        <w:tc>
          <w:tcPr>
            <w:tcW w:w="2551" w:type="dxa"/>
            <w:vAlign w:val="center"/>
          </w:tcPr>
          <w:p>
            <w:pPr>
              <w:pStyle w:val="22"/>
            </w:pPr>
            <w:r>
              <w:t>≥2000元/人</w:t>
            </w:r>
          </w:p>
        </w:tc>
        <w:tc>
          <w:tcPr>
            <w:tcW w:w="2268" w:type="dxa"/>
            <w:vAlign w:val="center"/>
          </w:tcPr>
          <w:p>
            <w:pPr>
              <w:pStyle w:val="22"/>
            </w:pPr>
            <w:r>
              <w:t>关于转发《中等职业学校国家助学金管理办法》的通知(冀财教[2017]14号)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享受助学金人数</w:t>
            </w:r>
          </w:p>
        </w:tc>
        <w:tc>
          <w:tcPr>
            <w:tcW w:w="2835" w:type="dxa"/>
            <w:vAlign w:val="center"/>
          </w:tcPr>
          <w:p>
            <w:pPr>
              <w:pStyle w:val="22"/>
            </w:pPr>
            <w:r>
              <w:t>享受助学金人数</w:t>
            </w:r>
          </w:p>
        </w:tc>
        <w:tc>
          <w:tcPr>
            <w:tcW w:w="2551" w:type="dxa"/>
            <w:vAlign w:val="center"/>
          </w:tcPr>
          <w:p>
            <w:pPr>
              <w:pStyle w:val="22"/>
            </w:pPr>
            <w:r>
              <w:t>44人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及时足额发放率</w:t>
            </w:r>
          </w:p>
        </w:tc>
        <w:tc>
          <w:tcPr>
            <w:tcW w:w="2835" w:type="dxa"/>
            <w:vAlign w:val="center"/>
          </w:tcPr>
          <w:p>
            <w:pPr>
              <w:pStyle w:val="22"/>
            </w:pPr>
            <w:r>
              <w:t>实际发助学金学生人数/审核通过符合条件的学生人数</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资金及时支付</w:t>
            </w:r>
          </w:p>
        </w:tc>
        <w:tc>
          <w:tcPr>
            <w:tcW w:w="2835" w:type="dxa"/>
            <w:vAlign w:val="center"/>
          </w:tcPr>
          <w:p>
            <w:pPr>
              <w:pStyle w:val="22"/>
            </w:pPr>
            <w:r>
              <w:t>资金及时支付</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经济效益指标</w:t>
            </w:r>
          </w:p>
        </w:tc>
        <w:tc>
          <w:tcPr>
            <w:tcW w:w="2835" w:type="dxa"/>
            <w:vAlign w:val="center"/>
          </w:tcPr>
          <w:p>
            <w:pPr>
              <w:pStyle w:val="22"/>
            </w:pPr>
            <w:r>
              <w:t>减少教育负担</w:t>
            </w:r>
          </w:p>
        </w:tc>
        <w:tc>
          <w:tcPr>
            <w:tcW w:w="2835" w:type="dxa"/>
            <w:vAlign w:val="center"/>
          </w:tcPr>
          <w:p>
            <w:pPr>
              <w:pStyle w:val="22"/>
            </w:pPr>
            <w:r>
              <w:t>此指标考察此项资助项目是否有效减轻贫困户教育支出负担</w:t>
            </w:r>
          </w:p>
        </w:tc>
        <w:tc>
          <w:tcPr>
            <w:tcW w:w="2551" w:type="dxa"/>
            <w:vAlign w:val="center"/>
          </w:tcPr>
          <w:p>
            <w:pPr>
              <w:pStyle w:val="22"/>
            </w:pPr>
            <w:r>
              <w:t>有效</w:t>
            </w:r>
          </w:p>
        </w:tc>
        <w:tc>
          <w:tcPr>
            <w:tcW w:w="2268" w:type="dxa"/>
            <w:vAlign w:val="center"/>
          </w:tcPr>
          <w:p>
            <w:pPr>
              <w:pStyle w:val="22"/>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贫困生辍学率</w:t>
            </w:r>
          </w:p>
        </w:tc>
        <w:tc>
          <w:tcPr>
            <w:tcW w:w="2835" w:type="dxa"/>
            <w:vAlign w:val="center"/>
          </w:tcPr>
          <w:p>
            <w:pPr>
              <w:pStyle w:val="22"/>
            </w:pPr>
            <w:r>
              <w:t>因贫辍学/贫困生数量</w:t>
            </w:r>
          </w:p>
        </w:tc>
        <w:tc>
          <w:tcPr>
            <w:tcW w:w="2551" w:type="dxa"/>
            <w:vAlign w:val="center"/>
          </w:tcPr>
          <w:p>
            <w:pPr>
              <w:pStyle w:val="22"/>
            </w:pPr>
            <w:r>
              <w:t>≤10%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家长对学校的满意度（%）</w:t>
            </w:r>
          </w:p>
        </w:tc>
        <w:tc>
          <w:tcPr>
            <w:tcW w:w="2835" w:type="dxa"/>
            <w:vAlign w:val="center"/>
          </w:tcPr>
          <w:p>
            <w:pPr>
              <w:pStyle w:val="22"/>
            </w:pPr>
            <w:r>
              <w:t>调查中对学校满意和较满意的家长数占调查总人数的比率</w:t>
            </w:r>
          </w:p>
        </w:tc>
        <w:tc>
          <w:tcPr>
            <w:tcW w:w="2551" w:type="dxa"/>
            <w:vAlign w:val="center"/>
          </w:tcPr>
          <w:p>
            <w:pPr>
              <w:pStyle w:val="22"/>
            </w:pPr>
            <w:r>
              <w:t>≥95%</w:t>
            </w:r>
          </w:p>
        </w:tc>
        <w:tc>
          <w:tcPr>
            <w:tcW w:w="2268" w:type="dxa"/>
            <w:vAlign w:val="center"/>
          </w:tcPr>
          <w:p>
            <w:pPr>
              <w:pStyle w:val="22"/>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6、关于提前下达2023年省级现代职业教育发展专项资金预算的通知(中职助学金)(冀财教[2022]183号)绩效目标表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1.落实中等职业学校助学金政策，按教务处汇总贫困生总人数发放，提高学生满意度。</w:t>
            </w:r>
          </w:p>
          <w:p>
            <w:pPr>
              <w:pStyle w:val="22"/>
            </w:pPr>
            <w:r>
              <w:t>2.确实改变贫困生生活困难。</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享受助学金人数</w:t>
            </w:r>
          </w:p>
        </w:tc>
        <w:tc>
          <w:tcPr>
            <w:tcW w:w="2835" w:type="dxa"/>
            <w:vAlign w:val="center"/>
          </w:tcPr>
          <w:p>
            <w:pPr>
              <w:pStyle w:val="22"/>
            </w:pPr>
            <w:r>
              <w:t>享受助学金人数</w:t>
            </w:r>
          </w:p>
        </w:tc>
        <w:tc>
          <w:tcPr>
            <w:tcW w:w="2551" w:type="dxa"/>
            <w:vAlign w:val="center"/>
          </w:tcPr>
          <w:p>
            <w:pPr>
              <w:pStyle w:val="22"/>
            </w:pPr>
            <w:r>
              <w:t>50人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及时足额发放率</w:t>
            </w:r>
          </w:p>
        </w:tc>
        <w:tc>
          <w:tcPr>
            <w:tcW w:w="2835" w:type="dxa"/>
            <w:vAlign w:val="center"/>
          </w:tcPr>
          <w:p>
            <w:pPr>
              <w:pStyle w:val="22"/>
            </w:pPr>
            <w:r>
              <w:t>实际发助学金学生人数/审核通过符合条件的学生人数</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生均财政投入数（元/人）</w:t>
            </w:r>
          </w:p>
        </w:tc>
        <w:tc>
          <w:tcPr>
            <w:tcW w:w="2835" w:type="dxa"/>
            <w:vAlign w:val="center"/>
          </w:tcPr>
          <w:p>
            <w:pPr>
              <w:pStyle w:val="22"/>
            </w:pPr>
            <w:r>
              <w:t>教育支出与学生数的比值</w:t>
            </w:r>
          </w:p>
        </w:tc>
        <w:tc>
          <w:tcPr>
            <w:tcW w:w="2551" w:type="dxa"/>
            <w:vAlign w:val="center"/>
          </w:tcPr>
          <w:p>
            <w:pPr>
              <w:pStyle w:val="22"/>
            </w:pPr>
            <w:r>
              <w:t>≥2000元/人</w:t>
            </w:r>
          </w:p>
        </w:tc>
        <w:tc>
          <w:tcPr>
            <w:tcW w:w="2268" w:type="dxa"/>
            <w:vAlign w:val="center"/>
          </w:tcPr>
          <w:p>
            <w:pPr>
              <w:pStyle w:val="22"/>
            </w:pPr>
            <w:r>
              <w:t>关于转发《中等职业学校国家助学金管理办法》的通知(冀财教[2017]14号)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资金及时支付</w:t>
            </w:r>
          </w:p>
        </w:tc>
        <w:tc>
          <w:tcPr>
            <w:tcW w:w="2835" w:type="dxa"/>
            <w:vAlign w:val="center"/>
          </w:tcPr>
          <w:p>
            <w:pPr>
              <w:pStyle w:val="22"/>
            </w:pPr>
            <w:r>
              <w:t>资金及时支付</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经济效益指标</w:t>
            </w:r>
          </w:p>
        </w:tc>
        <w:tc>
          <w:tcPr>
            <w:tcW w:w="2835" w:type="dxa"/>
            <w:vAlign w:val="center"/>
          </w:tcPr>
          <w:p>
            <w:pPr>
              <w:pStyle w:val="22"/>
            </w:pPr>
            <w:r>
              <w:t>减少教育负担</w:t>
            </w:r>
          </w:p>
        </w:tc>
        <w:tc>
          <w:tcPr>
            <w:tcW w:w="2835" w:type="dxa"/>
            <w:vAlign w:val="center"/>
          </w:tcPr>
          <w:p>
            <w:pPr>
              <w:pStyle w:val="22"/>
            </w:pPr>
            <w:r>
              <w:t>此指标考察此项资助项目是否有效减轻贫困户教育支出负担</w:t>
            </w:r>
          </w:p>
        </w:tc>
        <w:tc>
          <w:tcPr>
            <w:tcW w:w="2551" w:type="dxa"/>
            <w:vAlign w:val="center"/>
          </w:tcPr>
          <w:p>
            <w:pPr>
              <w:pStyle w:val="22"/>
            </w:pPr>
            <w:r>
              <w:t>有效</w:t>
            </w:r>
          </w:p>
        </w:tc>
        <w:tc>
          <w:tcPr>
            <w:tcW w:w="2268" w:type="dxa"/>
            <w:vAlign w:val="center"/>
          </w:tcPr>
          <w:p>
            <w:pPr>
              <w:pStyle w:val="22"/>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贫困生辍学率</w:t>
            </w:r>
          </w:p>
        </w:tc>
        <w:tc>
          <w:tcPr>
            <w:tcW w:w="2835" w:type="dxa"/>
            <w:vAlign w:val="center"/>
          </w:tcPr>
          <w:p>
            <w:pPr>
              <w:pStyle w:val="22"/>
            </w:pPr>
            <w:r>
              <w:t>因贫辍学/贫困生数量</w:t>
            </w:r>
          </w:p>
        </w:tc>
        <w:tc>
          <w:tcPr>
            <w:tcW w:w="2551" w:type="dxa"/>
            <w:vAlign w:val="center"/>
          </w:tcPr>
          <w:p>
            <w:pPr>
              <w:pStyle w:val="22"/>
            </w:pPr>
            <w:r>
              <w:t>≤10%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家长对学校的满意度（%）</w:t>
            </w:r>
          </w:p>
        </w:tc>
        <w:tc>
          <w:tcPr>
            <w:tcW w:w="2835" w:type="dxa"/>
            <w:vAlign w:val="center"/>
          </w:tcPr>
          <w:p>
            <w:pPr>
              <w:pStyle w:val="22"/>
            </w:pPr>
            <w:r>
              <w:t>调查中对学校满意和较满意的家长数占调查总人数的比率</w:t>
            </w:r>
          </w:p>
        </w:tc>
        <w:tc>
          <w:tcPr>
            <w:tcW w:w="2551" w:type="dxa"/>
            <w:vAlign w:val="center"/>
          </w:tcPr>
          <w:p>
            <w:pPr>
              <w:pStyle w:val="22"/>
            </w:pPr>
            <w:r>
              <w:t>≥95%</w:t>
            </w:r>
          </w:p>
        </w:tc>
        <w:tc>
          <w:tcPr>
            <w:tcW w:w="2268" w:type="dxa"/>
            <w:vAlign w:val="center"/>
          </w:tcPr>
          <w:p>
            <w:pPr>
              <w:pStyle w:val="22"/>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7、关于提前下达2023年现代职业教育质量提升计划资金预算的通知(中等职业教育达标工程)(冀财教[2022]155号)绩效目标表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1.改善中等职业学校办学条件</w:t>
            </w:r>
          </w:p>
          <w:p>
            <w:pPr>
              <w:pStyle w:val="22"/>
            </w:pPr>
            <w:r>
              <w:t>2.购买电脑、电脑桌椅、监控、图书等设备</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职业学校提升教育质量设备数量</w:t>
            </w:r>
          </w:p>
        </w:tc>
        <w:tc>
          <w:tcPr>
            <w:tcW w:w="2835" w:type="dxa"/>
            <w:vAlign w:val="center"/>
          </w:tcPr>
          <w:p>
            <w:pPr>
              <w:pStyle w:val="22"/>
            </w:pPr>
            <w:r>
              <w:t>职业学校提升教育质量设备数量</w:t>
            </w:r>
          </w:p>
        </w:tc>
        <w:tc>
          <w:tcPr>
            <w:tcW w:w="2551" w:type="dxa"/>
            <w:vAlign w:val="center"/>
          </w:tcPr>
          <w:p>
            <w:pPr>
              <w:pStyle w:val="22"/>
            </w:pPr>
            <w:r>
              <w:t>≥122台套</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设备投入使用时间</w:t>
            </w:r>
          </w:p>
        </w:tc>
        <w:tc>
          <w:tcPr>
            <w:tcW w:w="2835" w:type="dxa"/>
            <w:vAlign w:val="center"/>
          </w:tcPr>
          <w:p>
            <w:pPr>
              <w:pStyle w:val="22"/>
            </w:pPr>
            <w:r>
              <w:t>设备投入使用时间</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购置仪器设备合格率</w:t>
            </w:r>
          </w:p>
        </w:tc>
        <w:tc>
          <w:tcPr>
            <w:tcW w:w="2835" w:type="dxa"/>
            <w:vAlign w:val="center"/>
          </w:tcPr>
          <w:p>
            <w:pPr>
              <w:pStyle w:val="22"/>
            </w:pPr>
            <w:r>
              <w:t>购置仪器设备合格率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购买教学设备</w:t>
            </w:r>
          </w:p>
        </w:tc>
        <w:tc>
          <w:tcPr>
            <w:tcW w:w="2835" w:type="dxa"/>
            <w:vAlign w:val="center"/>
          </w:tcPr>
          <w:p>
            <w:pPr>
              <w:pStyle w:val="22"/>
            </w:pPr>
            <w:r>
              <w:t>购买电脑、电脑桌椅、电子白板、监控等</w:t>
            </w:r>
          </w:p>
        </w:tc>
        <w:tc>
          <w:tcPr>
            <w:tcW w:w="2551" w:type="dxa"/>
            <w:vAlign w:val="center"/>
          </w:tcPr>
          <w:p>
            <w:pPr>
              <w:pStyle w:val="22"/>
            </w:pPr>
            <w:r>
              <w:t>70万元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设备可持续使用年限</w:t>
            </w:r>
          </w:p>
        </w:tc>
        <w:tc>
          <w:tcPr>
            <w:tcW w:w="2835" w:type="dxa"/>
            <w:vAlign w:val="center"/>
          </w:tcPr>
          <w:p>
            <w:pPr>
              <w:pStyle w:val="22"/>
            </w:pPr>
            <w:r>
              <w:t>设备可持续使用年限</w:t>
            </w:r>
          </w:p>
        </w:tc>
        <w:tc>
          <w:tcPr>
            <w:tcW w:w="2551" w:type="dxa"/>
            <w:vAlign w:val="center"/>
          </w:tcPr>
          <w:p>
            <w:pPr>
              <w:pStyle w:val="22"/>
            </w:pPr>
            <w:r>
              <w:t>≥6年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让家长对学校教学设备满意</w:t>
            </w:r>
          </w:p>
        </w:tc>
        <w:tc>
          <w:tcPr>
            <w:tcW w:w="2835" w:type="dxa"/>
            <w:vAlign w:val="center"/>
          </w:tcPr>
          <w:p>
            <w:pPr>
              <w:pStyle w:val="22"/>
            </w:pPr>
            <w:r>
              <w:t>让家长对学校教学设备满意</w:t>
            </w:r>
          </w:p>
        </w:tc>
        <w:tc>
          <w:tcPr>
            <w:tcW w:w="2551" w:type="dxa"/>
            <w:vAlign w:val="center"/>
          </w:tcPr>
          <w:p>
            <w:pPr>
              <w:pStyle w:val="22"/>
            </w:pPr>
            <w:r>
              <w:t>≥90%</w:t>
            </w:r>
          </w:p>
        </w:tc>
        <w:tc>
          <w:tcPr>
            <w:tcW w:w="2268" w:type="dxa"/>
            <w:vAlign w:val="center"/>
          </w:tcPr>
          <w:p>
            <w:pPr>
              <w:pStyle w:val="2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学生对学校满意度</w:t>
            </w:r>
          </w:p>
        </w:tc>
        <w:tc>
          <w:tcPr>
            <w:tcW w:w="2835" w:type="dxa"/>
            <w:vAlign w:val="center"/>
          </w:tcPr>
          <w:p>
            <w:pPr>
              <w:pStyle w:val="22"/>
            </w:pPr>
            <w:r>
              <w:t>学生对学校满意度</w:t>
            </w:r>
          </w:p>
        </w:tc>
        <w:tc>
          <w:tcPr>
            <w:tcW w:w="2551" w:type="dxa"/>
            <w:vAlign w:val="center"/>
          </w:tcPr>
          <w:p>
            <w:pPr>
              <w:pStyle w:val="22"/>
            </w:pPr>
            <w:r>
              <w:t>≥90%</w:t>
            </w:r>
          </w:p>
        </w:tc>
        <w:tc>
          <w:tcPr>
            <w:tcW w:w="2268" w:type="dxa"/>
            <w:vAlign w:val="center"/>
          </w:tcPr>
          <w:p>
            <w:pPr>
              <w:pStyle w:val="2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8、关于提前下达2023年中央学生资助补助经费预算(直达资金)的通知(中职助学金)(冀财教[2022]178号)绩效目标表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1.落实中等职业学校助学金政策，按教务处汇总贫困生总人数发放，提高学生满意度。</w:t>
            </w:r>
          </w:p>
          <w:p>
            <w:pPr>
              <w:pStyle w:val="22"/>
            </w:pPr>
            <w:r>
              <w:t>2.确实改变贫困生生活困难。</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享受助学金人数</w:t>
            </w:r>
          </w:p>
        </w:tc>
        <w:tc>
          <w:tcPr>
            <w:tcW w:w="2835" w:type="dxa"/>
            <w:vAlign w:val="center"/>
          </w:tcPr>
          <w:p>
            <w:pPr>
              <w:pStyle w:val="22"/>
            </w:pPr>
            <w:r>
              <w:t>享受助学金人数</w:t>
            </w:r>
          </w:p>
        </w:tc>
        <w:tc>
          <w:tcPr>
            <w:tcW w:w="2551" w:type="dxa"/>
            <w:vAlign w:val="center"/>
          </w:tcPr>
          <w:p>
            <w:pPr>
              <w:pStyle w:val="22"/>
            </w:pPr>
            <w:r>
              <w:t>50人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及时足额发放率</w:t>
            </w:r>
          </w:p>
        </w:tc>
        <w:tc>
          <w:tcPr>
            <w:tcW w:w="2835" w:type="dxa"/>
            <w:vAlign w:val="center"/>
          </w:tcPr>
          <w:p>
            <w:pPr>
              <w:pStyle w:val="22"/>
            </w:pPr>
            <w:r>
              <w:t>实际发助学金学生人数/审核通过符合条件的学生人数</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生均财政投入数（元/人）</w:t>
            </w:r>
          </w:p>
        </w:tc>
        <w:tc>
          <w:tcPr>
            <w:tcW w:w="2835" w:type="dxa"/>
            <w:vAlign w:val="center"/>
          </w:tcPr>
          <w:p>
            <w:pPr>
              <w:pStyle w:val="22"/>
            </w:pPr>
            <w:r>
              <w:t>教育支出与学生数的比值</w:t>
            </w:r>
          </w:p>
        </w:tc>
        <w:tc>
          <w:tcPr>
            <w:tcW w:w="2551" w:type="dxa"/>
            <w:vAlign w:val="center"/>
          </w:tcPr>
          <w:p>
            <w:pPr>
              <w:pStyle w:val="22"/>
            </w:pPr>
            <w:r>
              <w:t>≥2000元/人</w:t>
            </w:r>
          </w:p>
        </w:tc>
        <w:tc>
          <w:tcPr>
            <w:tcW w:w="2268" w:type="dxa"/>
            <w:vAlign w:val="center"/>
          </w:tcPr>
          <w:p>
            <w:pPr>
              <w:pStyle w:val="22"/>
            </w:pPr>
            <w:r>
              <w:t>关于转发《中等职业学校国家助学金管理办法》的通知(冀财教[2017]14号)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资金及时支付</w:t>
            </w:r>
          </w:p>
        </w:tc>
        <w:tc>
          <w:tcPr>
            <w:tcW w:w="2835" w:type="dxa"/>
            <w:vAlign w:val="center"/>
          </w:tcPr>
          <w:p>
            <w:pPr>
              <w:pStyle w:val="22"/>
            </w:pPr>
            <w:r>
              <w:t>资金及时支付</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经济效益指标</w:t>
            </w:r>
          </w:p>
        </w:tc>
        <w:tc>
          <w:tcPr>
            <w:tcW w:w="2835" w:type="dxa"/>
            <w:vAlign w:val="center"/>
          </w:tcPr>
          <w:p>
            <w:pPr>
              <w:pStyle w:val="22"/>
            </w:pPr>
            <w:r>
              <w:t>减少教育负担</w:t>
            </w:r>
          </w:p>
        </w:tc>
        <w:tc>
          <w:tcPr>
            <w:tcW w:w="2835" w:type="dxa"/>
            <w:vAlign w:val="center"/>
          </w:tcPr>
          <w:p>
            <w:pPr>
              <w:pStyle w:val="22"/>
            </w:pPr>
            <w:r>
              <w:t>此指标考察此项资助项目是否有效减轻贫困户教育支出负担</w:t>
            </w:r>
          </w:p>
        </w:tc>
        <w:tc>
          <w:tcPr>
            <w:tcW w:w="2551" w:type="dxa"/>
            <w:vAlign w:val="center"/>
          </w:tcPr>
          <w:p>
            <w:pPr>
              <w:pStyle w:val="22"/>
            </w:pPr>
            <w:r>
              <w:t>有效</w:t>
            </w:r>
          </w:p>
        </w:tc>
        <w:tc>
          <w:tcPr>
            <w:tcW w:w="2268" w:type="dxa"/>
            <w:vAlign w:val="center"/>
          </w:tcPr>
          <w:p>
            <w:pPr>
              <w:pStyle w:val="22"/>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贫困生辍学率</w:t>
            </w:r>
          </w:p>
        </w:tc>
        <w:tc>
          <w:tcPr>
            <w:tcW w:w="2835" w:type="dxa"/>
            <w:vAlign w:val="center"/>
          </w:tcPr>
          <w:p>
            <w:pPr>
              <w:pStyle w:val="22"/>
            </w:pPr>
            <w:r>
              <w:t>因贫辍学/贫困生数量</w:t>
            </w:r>
          </w:p>
        </w:tc>
        <w:tc>
          <w:tcPr>
            <w:tcW w:w="2551" w:type="dxa"/>
            <w:vAlign w:val="center"/>
          </w:tcPr>
          <w:p>
            <w:pPr>
              <w:pStyle w:val="22"/>
            </w:pPr>
            <w:r>
              <w:t>≤10%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家长对学校的满意度（%）</w:t>
            </w:r>
          </w:p>
        </w:tc>
        <w:tc>
          <w:tcPr>
            <w:tcW w:w="2835" w:type="dxa"/>
            <w:vAlign w:val="center"/>
          </w:tcPr>
          <w:p>
            <w:pPr>
              <w:pStyle w:val="22"/>
            </w:pPr>
            <w:r>
              <w:t>调查中对学校满意和较满意的家长数占调查总人数的比率</w:t>
            </w:r>
          </w:p>
        </w:tc>
        <w:tc>
          <w:tcPr>
            <w:tcW w:w="2551" w:type="dxa"/>
            <w:vAlign w:val="center"/>
          </w:tcPr>
          <w:p>
            <w:pPr>
              <w:pStyle w:val="22"/>
            </w:pPr>
            <w:r>
              <w:t>≥95%</w:t>
            </w:r>
          </w:p>
        </w:tc>
        <w:tc>
          <w:tcPr>
            <w:tcW w:w="2268" w:type="dxa"/>
            <w:vAlign w:val="center"/>
          </w:tcPr>
          <w:p>
            <w:pPr>
              <w:pStyle w:val="22"/>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9、中等职业学校国家助学金本级配套资金绩效目标表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1.落实中等职业学校助学金政策，按教务处汇总贫困生总人数发放，提高学生满意度。</w:t>
            </w:r>
          </w:p>
          <w:p>
            <w:pPr>
              <w:pStyle w:val="22"/>
            </w:pPr>
            <w:r>
              <w:t>2.确实改变贫困生生活困难。</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成本指标</w:t>
            </w:r>
          </w:p>
        </w:tc>
        <w:tc>
          <w:tcPr>
            <w:tcW w:w="2835" w:type="dxa"/>
            <w:vAlign w:val="center"/>
          </w:tcPr>
          <w:p>
            <w:pPr>
              <w:pStyle w:val="22"/>
            </w:pPr>
            <w:r>
              <w:t>生均财政投入数（元/人）</w:t>
            </w:r>
          </w:p>
        </w:tc>
        <w:tc>
          <w:tcPr>
            <w:tcW w:w="2835" w:type="dxa"/>
            <w:vAlign w:val="center"/>
          </w:tcPr>
          <w:p>
            <w:pPr>
              <w:pStyle w:val="22"/>
            </w:pPr>
            <w:r>
              <w:t>教育支出与学生数的比值</w:t>
            </w:r>
          </w:p>
        </w:tc>
        <w:tc>
          <w:tcPr>
            <w:tcW w:w="2551" w:type="dxa"/>
            <w:vAlign w:val="center"/>
          </w:tcPr>
          <w:p>
            <w:pPr>
              <w:pStyle w:val="22"/>
            </w:pPr>
            <w:r>
              <w:t>≥2000元/人</w:t>
            </w:r>
          </w:p>
        </w:tc>
        <w:tc>
          <w:tcPr>
            <w:tcW w:w="2268" w:type="dxa"/>
            <w:vAlign w:val="center"/>
          </w:tcPr>
          <w:p>
            <w:pPr>
              <w:pStyle w:val="22"/>
            </w:pPr>
            <w:r>
              <w:t>关于转发《中等职业学校国家助学金管理办法》的通知(冀财教[2017]14号)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享受助学金人数</w:t>
            </w:r>
          </w:p>
        </w:tc>
        <w:tc>
          <w:tcPr>
            <w:tcW w:w="2835" w:type="dxa"/>
            <w:vAlign w:val="center"/>
          </w:tcPr>
          <w:p>
            <w:pPr>
              <w:pStyle w:val="22"/>
            </w:pPr>
            <w:r>
              <w:t>享受助学金人数</w:t>
            </w:r>
          </w:p>
        </w:tc>
        <w:tc>
          <w:tcPr>
            <w:tcW w:w="2551" w:type="dxa"/>
            <w:vAlign w:val="center"/>
          </w:tcPr>
          <w:p>
            <w:pPr>
              <w:pStyle w:val="22"/>
            </w:pPr>
            <w:r>
              <w:t>50人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及时足额发放率</w:t>
            </w:r>
          </w:p>
        </w:tc>
        <w:tc>
          <w:tcPr>
            <w:tcW w:w="2835" w:type="dxa"/>
            <w:vAlign w:val="center"/>
          </w:tcPr>
          <w:p>
            <w:pPr>
              <w:pStyle w:val="22"/>
            </w:pPr>
            <w:r>
              <w:t>实际发助学金学生人数/审核通过符合条件的学生人数</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资金及时支付</w:t>
            </w:r>
          </w:p>
        </w:tc>
        <w:tc>
          <w:tcPr>
            <w:tcW w:w="2835" w:type="dxa"/>
            <w:vAlign w:val="center"/>
          </w:tcPr>
          <w:p>
            <w:pPr>
              <w:pStyle w:val="22"/>
            </w:pPr>
            <w:r>
              <w:t>资金及时支付</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经济效益指标</w:t>
            </w:r>
          </w:p>
        </w:tc>
        <w:tc>
          <w:tcPr>
            <w:tcW w:w="2835" w:type="dxa"/>
            <w:vAlign w:val="center"/>
          </w:tcPr>
          <w:p>
            <w:pPr>
              <w:pStyle w:val="22"/>
            </w:pPr>
            <w:r>
              <w:t>减少教育负担</w:t>
            </w:r>
          </w:p>
        </w:tc>
        <w:tc>
          <w:tcPr>
            <w:tcW w:w="2835" w:type="dxa"/>
            <w:vAlign w:val="center"/>
          </w:tcPr>
          <w:p>
            <w:pPr>
              <w:pStyle w:val="22"/>
            </w:pPr>
            <w:r>
              <w:t>此指标考察此项资助项目是否有效减轻贫困户教育支出负担</w:t>
            </w:r>
          </w:p>
        </w:tc>
        <w:tc>
          <w:tcPr>
            <w:tcW w:w="2551" w:type="dxa"/>
            <w:vAlign w:val="center"/>
          </w:tcPr>
          <w:p>
            <w:pPr>
              <w:pStyle w:val="22"/>
            </w:pPr>
            <w:r>
              <w:t>有效</w:t>
            </w:r>
          </w:p>
        </w:tc>
        <w:tc>
          <w:tcPr>
            <w:tcW w:w="2268" w:type="dxa"/>
            <w:vAlign w:val="center"/>
          </w:tcPr>
          <w:p>
            <w:pPr>
              <w:pStyle w:val="22"/>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贫困生辍学率</w:t>
            </w:r>
          </w:p>
        </w:tc>
        <w:tc>
          <w:tcPr>
            <w:tcW w:w="2835" w:type="dxa"/>
            <w:vAlign w:val="center"/>
          </w:tcPr>
          <w:p>
            <w:pPr>
              <w:pStyle w:val="22"/>
            </w:pPr>
            <w:r>
              <w:t>因贫辍学/贫困生数量</w:t>
            </w:r>
          </w:p>
        </w:tc>
        <w:tc>
          <w:tcPr>
            <w:tcW w:w="2551" w:type="dxa"/>
            <w:vAlign w:val="center"/>
          </w:tcPr>
          <w:p>
            <w:pPr>
              <w:pStyle w:val="22"/>
            </w:pPr>
            <w:r>
              <w:t>≤10%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家长对学校的满意度（%）</w:t>
            </w:r>
          </w:p>
        </w:tc>
        <w:tc>
          <w:tcPr>
            <w:tcW w:w="2835" w:type="dxa"/>
            <w:vAlign w:val="center"/>
          </w:tcPr>
          <w:p>
            <w:pPr>
              <w:pStyle w:val="22"/>
            </w:pPr>
            <w:r>
              <w:t>调查中对学校满意和较满意的家长数占调查总人数的比率</w:t>
            </w:r>
          </w:p>
        </w:tc>
        <w:tc>
          <w:tcPr>
            <w:tcW w:w="2551" w:type="dxa"/>
            <w:vAlign w:val="center"/>
          </w:tcPr>
          <w:p>
            <w:pPr>
              <w:pStyle w:val="22"/>
            </w:pPr>
            <w:r>
              <w:t>≥95%</w:t>
            </w:r>
          </w:p>
        </w:tc>
        <w:tc>
          <w:tcPr>
            <w:tcW w:w="2268" w:type="dxa"/>
            <w:vAlign w:val="center"/>
          </w:tcPr>
          <w:p>
            <w:pPr>
              <w:pStyle w:val="22"/>
            </w:pPr>
            <w:r>
              <w:t>计划标准</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2023年，霸州市职业技术中学安排政府采购预算362.05万元。具体内容见下表。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501402霸州市职业技术中学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362.05</w:t>
            </w:r>
          </w:p>
        </w:tc>
        <w:tc>
          <w:tcPr>
            <w:tcW w:w="964" w:type="dxa"/>
            <w:vAlign w:val="center"/>
          </w:tcPr>
          <w:p>
            <w:pPr>
              <w:pStyle w:val="25"/>
            </w:pPr>
            <w:r>
              <w:t>362.05</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362.05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霸州市职业技术中学小计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362.05</w:t>
            </w:r>
          </w:p>
        </w:tc>
        <w:tc>
          <w:tcPr>
            <w:tcW w:w="964" w:type="dxa"/>
            <w:vAlign w:val="center"/>
          </w:tcPr>
          <w:p>
            <w:pPr>
              <w:pStyle w:val="25"/>
            </w:pPr>
            <w:r>
              <w:t>362.05</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362.05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公用类项目</w:t>
            </w:r>
          </w:p>
        </w:tc>
        <w:tc>
          <w:tcPr>
            <w:tcW w:w="964" w:type="dxa"/>
            <w:vAlign w:val="center"/>
          </w:tcPr>
          <w:p>
            <w:pPr>
              <w:pStyle w:val="21"/>
            </w:pPr>
            <w:r>
              <w:t>295.68</w:t>
            </w:r>
          </w:p>
        </w:tc>
        <w:tc>
          <w:tcPr>
            <w:tcW w:w="1134" w:type="dxa"/>
            <w:vAlign w:val="center"/>
          </w:tcPr>
          <w:p>
            <w:pPr>
              <w:pStyle w:val="22"/>
            </w:pPr>
            <w:r>
              <w:t>职业中学教育服务</w:t>
            </w:r>
          </w:p>
        </w:tc>
        <w:tc>
          <w:tcPr>
            <w:tcW w:w="1134" w:type="dxa"/>
            <w:vAlign w:val="center"/>
          </w:tcPr>
          <w:p>
            <w:pPr>
              <w:pStyle w:val="22"/>
            </w:pPr>
            <w:r>
              <w:t>C02030400</w:t>
            </w:r>
          </w:p>
        </w:tc>
        <w:tc>
          <w:tcPr>
            <w:tcW w:w="709" w:type="dxa"/>
            <w:vAlign w:val="center"/>
          </w:tcPr>
          <w:p>
            <w:pPr>
              <w:pStyle w:val="23"/>
            </w:pPr>
            <w:r>
              <w:t>万元</w:t>
            </w:r>
          </w:p>
        </w:tc>
        <w:tc>
          <w:tcPr>
            <w:tcW w:w="850" w:type="dxa"/>
            <w:vAlign w:val="center"/>
          </w:tcPr>
          <w:p>
            <w:pPr>
              <w:pStyle w:val="21"/>
            </w:pPr>
            <w:r>
              <w:t>1</w:t>
            </w:r>
          </w:p>
        </w:tc>
        <w:tc>
          <w:tcPr>
            <w:tcW w:w="850" w:type="dxa"/>
            <w:vAlign w:val="center"/>
          </w:tcPr>
          <w:p>
            <w:pPr>
              <w:pStyle w:val="21"/>
            </w:pPr>
            <w:r>
              <w:t>100.00</w:t>
            </w:r>
          </w:p>
        </w:tc>
        <w:tc>
          <w:tcPr>
            <w:tcW w:w="964" w:type="dxa"/>
            <w:vAlign w:val="center"/>
          </w:tcPr>
          <w:p>
            <w:pPr>
              <w:pStyle w:val="21"/>
            </w:pPr>
            <w:r>
              <w:t>100.00</w:t>
            </w:r>
          </w:p>
        </w:tc>
        <w:tc>
          <w:tcPr>
            <w:tcW w:w="964" w:type="dxa"/>
            <w:vAlign w:val="center"/>
          </w:tcPr>
          <w:p>
            <w:pPr>
              <w:pStyle w:val="21"/>
            </w:pPr>
            <w:r>
              <w:t>100.00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关于提前下达2023年省级现代职业教育发展专项资金预算的通知(中职免学费)(冀财教[2022]183号)</w:t>
            </w:r>
          </w:p>
        </w:tc>
        <w:tc>
          <w:tcPr>
            <w:tcW w:w="964" w:type="dxa"/>
            <w:vAlign w:val="center"/>
          </w:tcPr>
          <w:p>
            <w:pPr>
              <w:pStyle w:val="21"/>
            </w:pPr>
            <w:r>
              <w:t>68.00</w:t>
            </w:r>
          </w:p>
        </w:tc>
        <w:tc>
          <w:tcPr>
            <w:tcW w:w="1134" w:type="dxa"/>
            <w:vAlign w:val="center"/>
          </w:tcPr>
          <w:p>
            <w:pPr>
              <w:pStyle w:val="22"/>
            </w:pPr>
            <w:r>
              <w:t>职业中学教育服务</w:t>
            </w:r>
          </w:p>
        </w:tc>
        <w:tc>
          <w:tcPr>
            <w:tcW w:w="1134" w:type="dxa"/>
            <w:vAlign w:val="center"/>
          </w:tcPr>
          <w:p>
            <w:pPr>
              <w:pStyle w:val="22"/>
            </w:pPr>
            <w:r>
              <w:t>C02030400</w:t>
            </w:r>
          </w:p>
        </w:tc>
        <w:tc>
          <w:tcPr>
            <w:tcW w:w="709" w:type="dxa"/>
            <w:vAlign w:val="center"/>
          </w:tcPr>
          <w:p>
            <w:pPr>
              <w:pStyle w:val="23"/>
            </w:pPr>
            <w:r>
              <w:t>万元</w:t>
            </w:r>
          </w:p>
        </w:tc>
        <w:tc>
          <w:tcPr>
            <w:tcW w:w="850" w:type="dxa"/>
            <w:vAlign w:val="center"/>
          </w:tcPr>
          <w:p>
            <w:pPr>
              <w:pStyle w:val="21"/>
            </w:pPr>
            <w:r>
              <w:t>1</w:t>
            </w:r>
          </w:p>
        </w:tc>
        <w:tc>
          <w:tcPr>
            <w:tcW w:w="850" w:type="dxa"/>
            <w:vAlign w:val="center"/>
          </w:tcPr>
          <w:p>
            <w:pPr>
              <w:pStyle w:val="21"/>
            </w:pPr>
            <w:r>
              <w:t>23.00</w:t>
            </w:r>
          </w:p>
        </w:tc>
        <w:tc>
          <w:tcPr>
            <w:tcW w:w="964" w:type="dxa"/>
            <w:vAlign w:val="center"/>
          </w:tcPr>
          <w:p>
            <w:pPr>
              <w:pStyle w:val="21"/>
            </w:pPr>
            <w:r>
              <w:t>23.00</w:t>
            </w:r>
          </w:p>
        </w:tc>
        <w:tc>
          <w:tcPr>
            <w:tcW w:w="964" w:type="dxa"/>
            <w:vAlign w:val="center"/>
          </w:tcPr>
          <w:p>
            <w:pPr>
              <w:pStyle w:val="21"/>
            </w:pPr>
            <w:r>
              <w:t>23.00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关于提前下达2023年中央学生资助补助经费预算(直达资金)的通知(中职免学费)(冀财教[2022]178号)</w:t>
            </w:r>
          </w:p>
        </w:tc>
        <w:tc>
          <w:tcPr>
            <w:tcW w:w="964" w:type="dxa"/>
            <w:vAlign w:val="center"/>
          </w:tcPr>
          <w:p>
            <w:pPr>
              <w:pStyle w:val="21"/>
            </w:pPr>
            <w:r>
              <w:t>186.00</w:t>
            </w:r>
          </w:p>
        </w:tc>
        <w:tc>
          <w:tcPr>
            <w:tcW w:w="1134" w:type="dxa"/>
            <w:vAlign w:val="center"/>
          </w:tcPr>
          <w:p>
            <w:pPr>
              <w:pStyle w:val="22"/>
            </w:pPr>
            <w:r>
              <w:t>其他医药品</w:t>
            </w:r>
          </w:p>
        </w:tc>
        <w:tc>
          <w:tcPr>
            <w:tcW w:w="1134" w:type="dxa"/>
            <w:vAlign w:val="center"/>
          </w:tcPr>
          <w:p>
            <w:pPr>
              <w:pStyle w:val="22"/>
            </w:pPr>
            <w:r>
              <w:t>A07029900</w:t>
            </w:r>
          </w:p>
        </w:tc>
        <w:tc>
          <w:tcPr>
            <w:tcW w:w="709" w:type="dxa"/>
            <w:vAlign w:val="center"/>
          </w:tcPr>
          <w:p>
            <w:pPr>
              <w:pStyle w:val="23"/>
            </w:pPr>
            <w:r>
              <w:t>万元</w:t>
            </w:r>
          </w:p>
        </w:tc>
        <w:tc>
          <w:tcPr>
            <w:tcW w:w="850" w:type="dxa"/>
            <w:vAlign w:val="center"/>
          </w:tcPr>
          <w:p>
            <w:pPr>
              <w:pStyle w:val="21"/>
            </w:pPr>
            <w:r>
              <w:t>1</w:t>
            </w:r>
          </w:p>
        </w:tc>
        <w:tc>
          <w:tcPr>
            <w:tcW w:w="850" w:type="dxa"/>
            <w:vAlign w:val="center"/>
          </w:tcPr>
          <w:p>
            <w:pPr>
              <w:pStyle w:val="21"/>
            </w:pPr>
            <w:r>
              <w:t>20.00</w:t>
            </w:r>
          </w:p>
        </w:tc>
        <w:tc>
          <w:tcPr>
            <w:tcW w:w="964" w:type="dxa"/>
            <w:vAlign w:val="center"/>
          </w:tcPr>
          <w:p>
            <w:pPr>
              <w:pStyle w:val="21"/>
            </w:pPr>
            <w:r>
              <w:t>20.00</w:t>
            </w:r>
          </w:p>
        </w:tc>
        <w:tc>
          <w:tcPr>
            <w:tcW w:w="964" w:type="dxa"/>
            <w:vAlign w:val="center"/>
          </w:tcPr>
          <w:p>
            <w:pPr>
              <w:pStyle w:val="21"/>
            </w:pPr>
            <w:r>
              <w:t>20.00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中等职业学校免学费补助本级配套资金</w:t>
            </w:r>
          </w:p>
        </w:tc>
        <w:tc>
          <w:tcPr>
            <w:tcW w:w="964" w:type="dxa"/>
            <w:vAlign w:val="center"/>
          </w:tcPr>
          <w:p>
            <w:pPr>
              <w:pStyle w:val="21"/>
            </w:pPr>
            <w:r>
              <w:t>232.00</w:t>
            </w:r>
          </w:p>
        </w:tc>
        <w:tc>
          <w:tcPr>
            <w:tcW w:w="1134" w:type="dxa"/>
            <w:vAlign w:val="center"/>
          </w:tcPr>
          <w:p>
            <w:pPr>
              <w:pStyle w:val="22"/>
            </w:pPr>
            <w:r>
              <w:t>钢木床类</w:t>
            </w:r>
          </w:p>
        </w:tc>
        <w:tc>
          <w:tcPr>
            <w:tcW w:w="1134" w:type="dxa"/>
            <w:vAlign w:val="center"/>
          </w:tcPr>
          <w:p>
            <w:pPr>
              <w:pStyle w:val="22"/>
            </w:pPr>
            <w:r>
              <w:t>A05010101</w:t>
            </w:r>
          </w:p>
        </w:tc>
        <w:tc>
          <w:tcPr>
            <w:tcW w:w="709" w:type="dxa"/>
            <w:vAlign w:val="center"/>
          </w:tcPr>
          <w:p>
            <w:pPr>
              <w:pStyle w:val="23"/>
            </w:pPr>
            <w:r>
              <w:t>套</w:t>
            </w:r>
          </w:p>
        </w:tc>
        <w:tc>
          <w:tcPr>
            <w:tcW w:w="850" w:type="dxa"/>
            <w:vAlign w:val="center"/>
          </w:tcPr>
          <w:p>
            <w:pPr>
              <w:pStyle w:val="21"/>
            </w:pPr>
            <w:r>
              <w:t>192.4</w:t>
            </w:r>
          </w:p>
        </w:tc>
        <w:tc>
          <w:tcPr>
            <w:tcW w:w="850" w:type="dxa"/>
            <w:vAlign w:val="center"/>
          </w:tcPr>
          <w:p>
            <w:pPr>
              <w:pStyle w:val="21"/>
            </w:pPr>
            <w:r>
              <w:t>0.05</w:t>
            </w:r>
          </w:p>
        </w:tc>
        <w:tc>
          <w:tcPr>
            <w:tcW w:w="964" w:type="dxa"/>
            <w:vAlign w:val="center"/>
          </w:tcPr>
          <w:p>
            <w:pPr>
              <w:pStyle w:val="21"/>
            </w:pPr>
            <w:r>
              <w:t>9.62</w:t>
            </w:r>
          </w:p>
        </w:tc>
        <w:tc>
          <w:tcPr>
            <w:tcW w:w="964" w:type="dxa"/>
            <w:vAlign w:val="center"/>
          </w:tcPr>
          <w:p>
            <w:pPr>
              <w:pStyle w:val="21"/>
            </w:pPr>
            <w:r>
              <w:t>9.62</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9.62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中等职业学校免学费补助本级配套资金</w:t>
            </w:r>
          </w:p>
        </w:tc>
        <w:tc>
          <w:tcPr>
            <w:tcW w:w="964" w:type="dxa"/>
            <w:vAlign w:val="center"/>
          </w:tcPr>
          <w:p>
            <w:pPr>
              <w:pStyle w:val="21"/>
            </w:pPr>
            <w:r>
              <w:t>232.00</w:t>
            </w:r>
          </w:p>
        </w:tc>
        <w:tc>
          <w:tcPr>
            <w:tcW w:w="1134" w:type="dxa"/>
            <w:vAlign w:val="center"/>
          </w:tcPr>
          <w:p>
            <w:pPr>
              <w:pStyle w:val="22"/>
            </w:pPr>
            <w:r>
              <w:t>办公桌</w:t>
            </w:r>
          </w:p>
        </w:tc>
        <w:tc>
          <w:tcPr>
            <w:tcW w:w="1134" w:type="dxa"/>
            <w:vAlign w:val="center"/>
          </w:tcPr>
          <w:p>
            <w:pPr>
              <w:pStyle w:val="22"/>
            </w:pPr>
            <w:r>
              <w:t>A05010201</w:t>
            </w:r>
          </w:p>
        </w:tc>
        <w:tc>
          <w:tcPr>
            <w:tcW w:w="709" w:type="dxa"/>
            <w:vAlign w:val="center"/>
          </w:tcPr>
          <w:p>
            <w:pPr>
              <w:pStyle w:val="23"/>
            </w:pPr>
            <w:r>
              <w:t>个</w:t>
            </w:r>
          </w:p>
        </w:tc>
        <w:tc>
          <w:tcPr>
            <w:tcW w:w="850" w:type="dxa"/>
            <w:vAlign w:val="center"/>
          </w:tcPr>
          <w:p>
            <w:pPr>
              <w:pStyle w:val="21"/>
            </w:pPr>
            <w:r>
              <w:t>6</w:t>
            </w:r>
          </w:p>
        </w:tc>
        <w:tc>
          <w:tcPr>
            <w:tcW w:w="850" w:type="dxa"/>
            <w:vAlign w:val="center"/>
          </w:tcPr>
          <w:p>
            <w:pPr>
              <w:pStyle w:val="21"/>
            </w:pPr>
            <w:r>
              <w:t>0.05</w:t>
            </w:r>
          </w:p>
        </w:tc>
        <w:tc>
          <w:tcPr>
            <w:tcW w:w="964" w:type="dxa"/>
            <w:vAlign w:val="center"/>
          </w:tcPr>
          <w:p>
            <w:pPr>
              <w:pStyle w:val="21"/>
            </w:pPr>
            <w:r>
              <w:t>0.30</w:t>
            </w:r>
          </w:p>
        </w:tc>
        <w:tc>
          <w:tcPr>
            <w:tcW w:w="964" w:type="dxa"/>
            <w:vAlign w:val="center"/>
          </w:tcPr>
          <w:p>
            <w:pPr>
              <w:pStyle w:val="21"/>
            </w:pPr>
            <w:r>
              <w:t>0.30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中等职业学校免学费补助本级配套资金</w:t>
            </w:r>
          </w:p>
        </w:tc>
        <w:tc>
          <w:tcPr>
            <w:tcW w:w="964" w:type="dxa"/>
            <w:vAlign w:val="center"/>
          </w:tcPr>
          <w:p>
            <w:pPr>
              <w:pStyle w:val="21"/>
            </w:pPr>
            <w:r>
              <w:t>232.00</w:t>
            </w:r>
          </w:p>
        </w:tc>
        <w:tc>
          <w:tcPr>
            <w:tcW w:w="1134" w:type="dxa"/>
            <w:vAlign w:val="center"/>
          </w:tcPr>
          <w:p>
            <w:pPr>
              <w:pStyle w:val="22"/>
            </w:pPr>
            <w:r>
              <w:t>教学、实验用桌</w:t>
            </w:r>
          </w:p>
        </w:tc>
        <w:tc>
          <w:tcPr>
            <w:tcW w:w="1134" w:type="dxa"/>
            <w:vAlign w:val="center"/>
          </w:tcPr>
          <w:p>
            <w:pPr>
              <w:pStyle w:val="22"/>
            </w:pPr>
            <w:r>
              <w:t>A05010203</w:t>
            </w:r>
          </w:p>
        </w:tc>
        <w:tc>
          <w:tcPr>
            <w:tcW w:w="709" w:type="dxa"/>
            <w:vAlign w:val="center"/>
          </w:tcPr>
          <w:p>
            <w:pPr>
              <w:pStyle w:val="23"/>
            </w:pPr>
            <w:r>
              <w:t>套</w:t>
            </w:r>
          </w:p>
        </w:tc>
        <w:tc>
          <w:tcPr>
            <w:tcW w:w="850" w:type="dxa"/>
            <w:vAlign w:val="center"/>
          </w:tcPr>
          <w:p>
            <w:pPr>
              <w:pStyle w:val="21"/>
            </w:pPr>
            <w:r>
              <w:t>160</w:t>
            </w:r>
          </w:p>
        </w:tc>
        <w:tc>
          <w:tcPr>
            <w:tcW w:w="850" w:type="dxa"/>
            <w:vAlign w:val="center"/>
          </w:tcPr>
          <w:p>
            <w:pPr>
              <w:pStyle w:val="21"/>
            </w:pPr>
            <w:r>
              <w:t>0.02</w:t>
            </w:r>
          </w:p>
        </w:tc>
        <w:tc>
          <w:tcPr>
            <w:tcW w:w="964" w:type="dxa"/>
            <w:vAlign w:val="center"/>
          </w:tcPr>
          <w:p>
            <w:pPr>
              <w:pStyle w:val="21"/>
            </w:pPr>
            <w:r>
              <w:t>3.20</w:t>
            </w:r>
          </w:p>
        </w:tc>
        <w:tc>
          <w:tcPr>
            <w:tcW w:w="964" w:type="dxa"/>
            <w:vAlign w:val="center"/>
          </w:tcPr>
          <w:p>
            <w:pPr>
              <w:pStyle w:val="21"/>
            </w:pPr>
            <w:r>
              <w:t>3.20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中等职业学校免学费补助本级配套资金</w:t>
            </w:r>
          </w:p>
        </w:tc>
        <w:tc>
          <w:tcPr>
            <w:tcW w:w="964" w:type="dxa"/>
            <w:vAlign w:val="center"/>
          </w:tcPr>
          <w:p>
            <w:pPr>
              <w:pStyle w:val="21"/>
            </w:pPr>
            <w:r>
              <w:t>232.00</w:t>
            </w:r>
          </w:p>
        </w:tc>
        <w:tc>
          <w:tcPr>
            <w:tcW w:w="1134" w:type="dxa"/>
            <w:vAlign w:val="center"/>
          </w:tcPr>
          <w:p>
            <w:pPr>
              <w:pStyle w:val="22"/>
            </w:pPr>
            <w:r>
              <w:t>其他台、桌类</w:t>
            </w:r>
          </w:p>
        </w:tc>
        <w:tc>
          <w:tcPr>
            <w:tcW w:w="1134" w:type="dxa"/>
            <w:vAlign w:val="center"/>
          </w:tcPr>
          <w:p>
            <w:pPr>
              <w:pStyle w:val="22"/>
            </w:pPr>
            <w:r>
              <w:t>A05010299</w:t>
            </w:r>
          </w:p>
        </w:tc>
        <w:tc>
          <w:tcPr>
            <w:tcW w:w="709" w:type="dxa"/>
            <w:vAlign w:val="center"/>
          </w:tcPr>
          <w:p>
            <w:pPr>
              <w:pStyle w:val="23"/>
            </w:pPr>
            <w:r>
              <w:t>套</w:t>
            </w:r>
          </w:p>
        </w:tc>
        <w:tc>
          <w:tcPr>
            <w:tcW w:w="850" w:type="dxa"/>
            <w:vAlign w:val="center"/>
          </w:tcPr>
          <w:p>
            <w:pPr>
              <w:pStyle w:val="21"/>
            </w:pPr>
            <w:r>
              <w:t>48</w:t>
            </w:r>
          </w:p>
        </w:tc>
        <w:tc>
          <w:tcPr>
            <w:tcW w:w="850" w:type="dxa"/>
            <w:vAlign w:val="center"/>
          </w:tcPr>
          <w:p>
            <w:pPr>
              <w:pStyle w:val="21"/>
            </w:pPr>
            <w:r>
              <w:t>0.03</w:t>
            </w:r>
          </w:p>
        </w:tc>
        <w:tc>
          <w:tcPr>
            <w:tcW w:w="964" w:type="dxa"/>
            <w:vAlign w:val="center"/>
          </w:tcPr>
          <w:p>
            <w:pPr>
              <w:pStyle w:val="21"/>
            </w:pPr>
            <w:r>
              <w:t>1.44</w:t>
            </w:r>
          </w:p>
        </w:tc>
        <w:tc>
          <w:tcPr>
            <w:tcW w:w="964" w:type="dxa"/>
            <w:vAlign w:val="center"/>
          </w:tcPr>
          <w:p>
            <w:pPr>
              <w:pStyle w:val="21"/>
            </w:pPr>
            <w:r>
              <w:t>1.44</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中等职业学校免学费补助本级配套资金</w:t>
            </w:r>
          </w:p>
        </w:tc>
        <w:tc>
          <w:tcPr>
            <w:tcW w:w="964" w:type="dxa"/>
            <w:vAlign w:val="center"/>
          </w:tcPr>
          <w:p>
            <w:pPr>
              <w:pStyle w:val="21"/>
            </w:pPr>
            <w:r>
              <w:t>232.00</w:t>
            </w:r>
          </w:p>
        </w:tc>
        <w:tc>
          <w:tcPr>
            <w:tcW w:w="1134" w:type="dxa"/>
            <w:vAlign w:val="center"/>
          </w:tcPr>
          <w:p>
            <w:pPr>
              <w:pStyle w:val="22"/>
            </w:pPr>
            <w:r>
              <w:t>文件柜</w:t>
            </w:r>
          </w:p>
        </w:tc>
        <w:tc>
          <w:tcPr>
            <w:tcW w:w="1134" w:type="dxa"/>
            <w:vAlign w:val="center"/>
          </w:tcPr>
          <w:p>
            <w:pPr>
              <w:pStyle w:val="22"/>
            </w:pPr>
            <w:r>
              <w:t>A05010502</w:t>
            </w:r>
          </w:p>
        </w:tc>
        <w:tc>
          <w:tcPr>
            <w:tcW w:w="709" w:type="dxa"/>
            <w:vAlign w:val="center"/>
          </w:tcPr>
          <w:p>
            <w:pPr>
              <w:pStyle w:val="23"/>
            </w:pPr>
            <w:r>
              <w:t>个</w:t>
            </w:r>
          </w:p>
        </w:tc>
        <w:tc>
          <w:tcPr>
            <w:tcW w:w="850" w:type="dxa"/>
            <w:vAlign w:val="center"/>
          </w:tcPr>
          <w:p>
            <w:pPr>
              <w:pStyle w:val="21"/>
            </w:pPr>
            <w:r>
              <w:t>7</w:t>
            </w:r>
          </w:p>
        </w:tc>
        <w:tc>
          <w:tcPr>
            <w:tcW w:w="850" w:type="dxa"/>
            <w:vAlign w:val="center"/>
          </w:tcPr>
          <w:p>
            <w:pPr>
              <w:pStyle w:val="21"/>
            </w:pPr>
            <w:r>
              <w:t>0.07</w:t>
            </w:r>
          </w:p>
        </w:tc>
        <w:tc>
          <w:tcPr>
            <w:tcW w:w="964" w:type="dxa"/>
            <w:vAlign w:val="center"/>
          </w:tcPr>
          <w:p>
            <w:pPr>
              <w:pStyle w:val="21"/>
            </w:pPr>
            <w:r>
              <w:t>0.49</w:t>
            </w:r>
          </w:p>
        </w:tc>
        <w:tc>
          <w:tcPr>
            <w:tcW w:w="964" w:type="dxa"/>
            <w:vAlign w:val="center"/>
          </w:tcPr>
          <w:p>
            <w:pPr>
              <w:pStyle w:val="21"/>
            </w:pPr>
            <w:r>
              <w:t>0.49</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中等职业学校免学费补助本级配套资金</w:t>
            </w:r>
          </w:p>
        </w:tc>
        <w:tc>
          <w:tcPr>
            <w:tcW w:w="964" w:type="dxa"/>
            <w:vAlign w:val="center"/>
          </w:tcPr>
          <w:p>
            <w:pPr>
              <w:pStyle w:val="21"/>
            </w:pPr>
            <w:r>
              <w:t>232.00</w:t>
            </w:r>
          </w:p>
        </w:tc>
        <w:tc>
          <w:tcPr>
            <w:tcW w:w="1134" w:type="dxa"/>
            <w:vAlign w:val="center"/>
          </w:tcPr>
          <w:p>
            <w:pPr>
              <w:pStyle w:val="22"/>
            </w:pPr>
            <w:r>
              <w:t>职业中学教育服务</w:t>
            </w:r>
          </w:p>
        </w:tc>
        <w:tc>
          <w:tcPr>
            <w:tcW w:w="1134" w:type="dxa"/>
            <w:vAlign w:val="center"/>
          </w:tcPr>
          <w:p>
            <w:pPr>
              <w:pStyle w:val="22"/>
            </w:pPr>
            <w:r>
              <w:t>C02030400</w:t>
            </w:r>
          </w:p>
        </w:tc>
        <w:tc>
          <w:tcPr>
            <w:tcW w:w="709" w:type="dxa"/>
            <w:vAlign w:val="center"/>
          </w:tcPr>
          <w:p>
            <w:pPr>
              <w:pStyle w:val="23"/>
            </w:pPr>
            <w:r>
              <w:t>万元</w:t>
            </w:r>
          </w:p>
        </w:tc>
        <w:tc>
          <w:tcPr>
            <w:tcW w:w="850" w:type="dxa"/>
            <w:vAlign w:val="center"/>
          </w:tcPr>
          <w:p>
            <w:pPr>
              <w:pStyle w:val="21"/>
            </w:pPr>
            <w:r>
              <w:t>1</w:t>
            </w:r>
          </w:p>
        </w:tc>
        <w:tc>
          <w:tcPr>
            <w:tcW w:w="850" w:type="dxa"/>
            <w:vAlign w:val="center"/>
          </w:tcPr>
          <w:p>
            <w:pPr>
              <w:pStyle w:val="21"/>
            </w:pPr>
            <w:r>
              <w:t>134.00</w:t>
            </w:r>
          </w:p>
        </w:tc>
        <w:tc>
          <w:tcPr>
            <w:tcW w:w="964" w:type="dxa"/>
            <w:vAlign w:val="center"/>
          </w:tcPr>
          <w:p>
            <w:pPr>
              <w:pStyle w:val="21"/>
            </w:pPr>
            <w:r>
              <w:t>134.00</w:t>
            </w:r>
          </w:p>
        </w:tc>
        <w:tc>
          <w:tcPr>
            <w:tcW w:w="964" w:type="dxa"/>
            <w:vAlign w:val="center"/>
          </w:tcPr>
          <w:p>
            <w:pPr>
              <w:pStyle w:val="21"/>
            </w:pPr>
            <w:r>
              <w:t>134.00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关于提前下达2023年现代职业教育质量提升计划资金预算的通知(中等职业教育达标工程)(冀财教[2022]155号)</w:t>
            </w:r>
          </w:p>
        </w:tc>
        <w:tc>
          <w:tcPr>
            <w:tcW w:w="964" w:type="dxa"/>
            <w:vAlign w:val="center"/>
          </w:tcPr>
          <w:p>
            <w:pPr>
              <w:pStyle w:val="21"/>
            </w:pPr>
            <w:r>
              <w:t>70.00</w:t>
            </w:r>
          </w:p>
        </w:tc>
        <w:tc>
          <w:tcPr>
            <w:tcW w:w="1134" w:type="dxa"/>
            <w:vAlign w:val="center"/>
          </w:tcPr>
          <w:p>
            <w:pPr>
              <w:pStyle w:val="22"/>
            </w:pPr>
            <w:r>
              <w:t>台式计算机</w:t>
            </w:r>
          </w:p>
        </w:tc>
        <w:tc>
          <w:tcPr>
            <w:tcW w:w="1134" w:type="dxa"/>
            <w:vAlign w:val="center"/>
          </w:tcPr>
          <w:p>
            <w:pPr>
              <w:pStyle w:val="22"/>
            </w:pPr>
            <w:r>
              <w:t>A02010105</w:t>
            </w:r>
          </w:p>
        </w:tc>
        <w:tc>
          <w:tcPr>
            <w:tcW w:w="709" w:type="dxa"/>
            <w:vAlign w:val="center"/>
          </w:tcPr>
          <w:p>
            <w:pPr>
              <w:pStyle w:val="23"/>
            </w:pPr>
            <w:r>
              <w:t>台</w:t>
            </w:r>
          </w:p>
        </w:tc>
        <w:tc>
          <w:tcPr>
            <w:tcW w:w="850" w:type="dxa"/>
            <w:vAlign w:val="center"/>
          </w:tcPr>
          <w:p>
            <w:pPr>
              <w:pStyle w:val="21"/>
            </w:pPr>
            <w:r>
              <w:t>60</w:t>
            </w:r>
          </w:p>
        </w:tc>
        <w:tc>
          <w:tcPr>
            <w:tcW w:w="850" w:type="dxa"/>
            <w:vAlign w:val="center"/>
          </w:tcPr>
          <w:p>
            <w:pPr>
              <w:pStyle w:val="21"/>
            </w:pPr>
            <w:r>
              <w:t>0.47</w:t>
            </w:r>
          </w:p>
        </w:tc>
        <w:tc>
          <w:tcPr>
            <w:tcW w:w="964" w:type="dxa"/>
            <w:vAlign w:val="center"/>
          </w:tcPr>
          <w:p>
            <w:pPr>
              <w:pStyle w:val="21"/>
            </w:pPr>
            <w:r>
              <w:t>28.20</w:t>
            </w:r>
          </w:p>
        </w:tc>
        <w:tc>
          <w:tcPr>
            <w:tcW w:w="964" w:type="dxa"/>
            <w:vAlign w:val="center"/>
          </w:tcPr>
          <w:p>
            <w:pPr>
              <w:pStyle w:val="21"/>
            </w:pPr>
            <w:r>
              <w:t>28.20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关于提前下达2023年现代职业教育质量提升计划资金预算的通知(中等职业教育达标工程)(冀财教[2022]155号)</w:t>
            </w:r>
          </w:p>
        </w:tc>
        <w:tc>
          <w:tcPr>
            <w:tcW w:w="964" w:type="dxa"/>
            <w:vAlign w:val="center"/>
          </w:tcPr>
          <w:p>
            <w:pPr>
              <w:pStyle w:val="21"/>
            </w:pPr>
            <w:r>
              <w:t>70.00</w:t>
            </w:r>
          </w:p>
        </w:tc>
        <w:tc>
          <w:tcPr>
            <w:tcW w:w="1134" w:type="dxa"/>
            <w:vAlign w:val="center"/>
          </w:tcPr>
          <w:p>
            <w:pPr>
              <w:pStyle w:val="22"/>
            </w:pPr>
            <w:r>
              <w:t>视频监控设备</w:t>
            </w:r>
          </w:p>
        </w:tc>
        <w:tc>
          <w:tcPr>
            <w:tcW w:w="1134" w:type="dxa"/>
            <w:vAlign w:val="center"/>
          </w:tcPr>
          <w:p>
            <w:pPr>
              <w:pStyle w:val="22"/>
            </w:pPr>
            <w:r>
              <w:t>A02091107</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17.00</w:t>
            </w:r>
          </w:p>
        </w:tc>
        <w:tc>
          <w:tcPr>
            <w:tcW w:w="964" w:type="dxa"/>
            <w:vAlign w:val="center"/>
          </w:tcPr>
          <w:p>
            <w:pPr>
              <w:pStyle w:val="21"/>
            </w:pPr>
            <w:r>
              <w:t>17.00</w:t>
            </w:r>
          </w:p>
        </w:tc>
        <w:tc>
          <w:tcPr>
            <w:tcW w:w="964" w:type="dxa"/>
            <w:vAlign w:val="center"/>
          </w:tcPr>
          <w:p>
            <w:pPr>
              <w:pStyle w:val="21"/>
            </w:pPr>
            <w:r>
              <w:t>17.00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关于提前下达2023年现代职业教育质量提升计划资金预算的通知(中等职业教育达标工程)(冀财教[2022]155号)</w:t>
            </w:r>
          </w:p>
        </w:tc>
        <w:tc>
          <w:tcPr>
            <w:tcW w:w="964" w:type="dxa"/>
            <w:vAlign w:val="center"/>
          </w:tcPr>
          <w:p>
            <w:pPr>
              <w:pStyle w:val="21"/>
            </w:pPr>
            <w:r>
              <w:t>70.00</w:t>
            </w:r>
          </w:p>
        </w:tc>
        <w:tc>
          <w:tcPr>
            <w:tcW w:w="1134" w:type="dxa"/>
            <w:vAlign w:val="center"/>
          </w:tcPr>
          <w:p>
            <w:pPr>
              <w:pStyle w:val="22"/>
            </w:pPr>
            <w:r>
              <w:t>书籍、课本</w:t>
            </w:r>
          </w:p>
        </w:tc>
        <w:tc>
          <w:tcPr>
            <w:tcW w:w="1134" w:type="dxa"/>
            <w:vAlign w:val="center"/>
          </w:tcPr>
          <w:p>
            <w:pPr>
              <w:pStyle w:val="22"/>
            </w:pPr>
            <w:r>
              <w:t>A04010101</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21.80</w:t>
            </w:r>
          </w:p>
        </w:tc>
        <w:tc>
          <w:tcPr>
            <w:tcW w:w="964" w:type="dxa"/>
            <w:vAlign w:val="center"/>
          </w:tcPr>
          <w:p>
            <w:pPr>
              <w:pStyle w:val="21"/>
            </w:pPr>
            <w:r>
              <w:t>21.80</w:t>
            </w:r>
          </w:p>
        </w:tc>
        <w:tc>
          <w:tcPr>
            <w:tcW w:w="964" w:type="dxa"/>
            <w:vAlign w:val="center"/>
          </w:tcPr>
          <w:p>
            <w:pPr>
              <w:pStyle w:val="21"/>
            </w:pPr>
            <w:r>
              <w:t>21.80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关于提前下达2023年现代职业教育质量提升计划资金预算的通知(中等职业教育达标工程)(冀财教[2022]155号)</w:t>
            </w:r>
          </w:p>
        </w:tc>
        <w:tc>
          <w:tcPr>
            <w:tcW w:w="964" w:type="dxa"/>
            <w:vAlign w:val="center"/>
          </w:tcPr>
          <w:p>
            <w:pPr>
              <w:pStyle w:val="21"/>
            </w:pPr>
            <w:r>
              <w:t>70.00</w:t>
            </w:r>
          </w:p>
        </w:tc>
        <w:tc>
          <w:tcPr>
            <w:tcW w:w="1134" w:type="dxa"/>
            <w:vAlign w:val="center"/>
          </w:tcPr>
          <w:p>
            <w:pPr>
              <w:pStyle w:val="22"/>
            </w:pPr>
            <w:r>
              <w:t>教学、实验用桌</w:t>
            </w:r>
          </w:p>
        </w:tc>
        <w:tc>
          <w:tcPr>
            <w:tcW w:w="1134" w:type="dxa"/>
            <w:vAlign w:val="center"/>
          </w:tcPr>
          <w:p>
            <w:pPr>
              <w:pStyle w:val="22"/>
            </w:pPr>
            <w:r>
              <w:t>A05010203</w:t>
            </w:r>
          </w:p>
        </w:tc>
        <w:tc>
          <w:tcPr>
            <w:tcW w:w="709" w:type="dxa"/>
            <w:vAlign w:val="center"/>
          </w:tcPr>
          <w:p>
            <w:pPr>
              <w:pStyle w:val="23"/>
            </w:pPr>
            <w:r>
              <w:t>套</w:t>
            </w:r>
          </w:p>
        </w:tc>
        <w:tc>
          <w:tcPr>
            <w:tcW w:w="850" w:type="dxa"/>
            <w:vAlign w:val="center"/>
          </w:tcPr>
          <w:p>
            <w:pPr>
              <w:pStyle w:val="21"/>
            </w:pPr>
            <w:r>
              <w:t>60</w:t>
            </w:r>
          </w:p>
        </w:tc>
        <w:tc>
          <w:tcPr>
            <w:tcW w:w="850" w:type="dxa"/>
            <w:vAlign w:val="center"/>
          </w:tcPr>
          <w:p>
            <w:pPr>
              <w:pStyle w:val="21"/>
            </w:pPr>
            <w:r>
              <w:t>0.05</w:t>
            </w:r>
          </w:p>
        </w:tc>
        <w:tc>
          <w:tcPr>
            <w:tcW w:w="964" w:type="dxa"/>
            <w:vAlign w:val="center"/>
          </w:tcPr>
          <w:p>
            <w:pPr>
              <w:pStyle w:val="21"/>
            </w:pPr>
            <w:r>
              <w:t>3.00</w:t>
            </w:r>
          </w:p>
        </w:tc>
        <w:tc>
          <w:tcPr>
            <w:tcW w:w="964" w:type="dxa"/>
            <w:vAlign w:val="center"/>
          </w:tcPr>
          <w:p>
            <w:pPr>
              <w:pStyle w:val="21"/>
            </w:pPr>
            <w:r>
              <w:t>3.00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3.00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霸州市职业技术中学上年末固定资产金额为</w:t>
      </w:r>
      <w:r>
        <w:rPr>
          <w:rFonts w:hint="eastAsia" w:eastAsia="方正仿宋_GBK"/>
          <w:color w:val="000000"/>
          <w:sz w:val="28"/>
          <w:lang w:val="en-US" w:eastAsia="zh-CN"/>
        </w:rPr>
        <w:t>1025.54</w:t>
      </w:r>
      <w:r>
        <w:rPr>
          <w:rFonts w:eastAsia="方正仿宋_GBK"/>
          <w:color w:val="000000"/>
          <w:sz w:val="28"/>
        </w:rPr>
        <w:t>万元（详见下表）。本年度拟购置固定资产总额为</w:t>
      </w:r>
      <w:r>
        <w:rPr>
          <w:rFonts w:hint="eastAsia" w:eastAsia="方正仿宋_GBK"/>
          <w:color w:val="000000"/>
          <w:sz w:val="28"/>
          <w:lang w:val="en-US" w:eastAsia="zh-CN"/>
        </w:rPr>
        <w:t>85.05</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13482" w:type="dxa"/>
        <w:tblInd w:w="93"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霸州市职业技术中学单位固定资产占用情况表</w:t>
            </w:r>
          </w:p>
        </w:tc>
      </w:tr>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编制部门：501402霸州市职业技术中学</w:t>
            </w:r>
          </w:p>
        </w:tc>
        <w:tc>
          <w:tcPr>
            <w:tcW w:w="4710" w:type="dxa"/>
            <w:tcBorders>
              <w:top w:val="nil"/>
              <w:left w:val="nil"/>
              <w:bottom w:val="nil"/>
              <w:right w:val="nil"/>
            </w:tcBorders>
            <w:shd w:val="clear" w:color="auto" w:fill="auto"/>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 xml:space="preserve">截止时间：2021年12月31日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5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47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471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1025.54</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6319</w:t>
            </w:r>
          </w:p>
        </w:tc>
        <w:tc>
          <w:tcPr>
            <w:tcW w:w="4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69.70</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2850</w:t>
            </w:r>
          </w:p>
        </w:tc>
        <w:tc>
          <w:tcPr>
            <w:tcW w:w="4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31.44</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4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173.28</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3872</w:t>
            </w:r>
          </w:p>
        </w:tc>
        <w:tc>
          <w:tcPr>
            <w:tcW w:w="471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780.56</w:t>
            </w:r>
          </w:p>
        </w:tc>
      </w:tr>
    </w:tbl>
    <w:p>
      <w:pPr>
        <w:ind w:firstLine="420"/>
      </w:pPr>
      <w:r>
        <w:rPr>
          <w:rFonts w:ascii="方正书宋_GBK" w:hAnsi="方正书宋_GBK" w:eastAsia="方正书宋_GBK" w:cs="方正书宋_GBK"/>
          <w:color w:val="000000"/>
        </w:rPr>
        <w:t>注：无固定资产占用情况，空表列示。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1100ef36-7f4a-4097-a0c6-6fda28676b1a"/>
  </w:docVars>
  <w:rsids>
    <w:rsidRoot w:val="004A1168"/>
    <w:rsid w:val="00012A57"/>
    <w:rsid w:val="000B7353"/>
    <w:rsid w:val="00136014"/>
    <w:rsid w:val="001F67F8"/>
    <w:rsid w:val="002F010E"/>
    <w:rsid w:val="003A5231"/>
    <w:rsid w:val="003D654A"/>
    <w:rsid w:val="00464BFB"/>
    <w:rsid w:val="004A1168"/>
    <w:rsid w:val="005B7AFC"/>
    <w:rsid w:val="006D6C4D"/>
    <w:rsid w:val="006F70C6"/>
    <w:rsid w:val="00790403"/>
    <w:rsid w:val="00972810"/>
    <w:rsid w:val="00991EB1"/>
    <w:rsid w:val="009B55A2"/>
    <w:rsid w:val="00A80758"/>
    <w:rsid w:val="00A9064A"/>
    <w:rsid w:val="00A915A7"/>
    <w:rsid w:val="00AA1FB3"/>
    <w:rsid w:val="00AD578B"/>
    <w:rsid w:val="00B6757F"/>
    <w:rsid w:val="00BB35A7"/>
    <w:rsid w:val="00C57197"/>
    <w:rsid w:val="00C672B5"/>
    <w:rsid w:val="00CC7E62"/>
    <w:rsid w:val="00D513F4"/>
    <w:rsid w:val="00D64AD2"/>
    <w:rsid w:val="00D93167"/>
    <w:rsid w:val="00D9444E"/>
    <w:rsid w:val="00E20116"/>
    <w:rsid w:val="00E3061C"/>
    <w:rsid w:val="00EF51BF"/>
    <w:rsid w:val="00FC209C"/>
    <w:rsid w:val="05367644"/>
    <w:rsid w:val="4DFC6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32</Pages>
  <Words>8319</Words>
  <Characters>10066</Characters>
  <Lines>96</Lines>
  <Paragraphs>27</Paragraphs>
  <TotalTime>42</TotalTime>
  <ScaleCrop>false</ScaleCrop>
  <LinksUpToDate>false</LinksUpToDate>
  <CharactersWithSpaces>10218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2023-02-28T06:47:59Z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D32C712E5EFD466E97928776DA3D3E0E</vt:lpwstr>
  </property>
</Properties>
</file>